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053FB097"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044DC">
        <w:rPr>
          <w:rFonts w:ascii="Arial Nova" w:hAnsi="Arial Nova" w:cs="Times New Roman"/>
          <w:b/>
          <w:sz w:val="26"/>
          <w:szCs w:val="26"/>
        </w:rPr>
        <w:t>RESEARCH ARTICLES</w:t>
      </w:r>
    </w:p>
    <w:p w14:paraId="2CD26A32" w14:textId="6D6FB6DF" w:rsidR="002F14B0" w:rsidRPr="002F14B0" w:rsidRDefault="00135CDB" w:rsidP="00D209B2">
      <w:pPr>
        <w:rPr>
          <w:rFonts w:ascii="Arial Nova" w:hAnsi="Arial Nova" w:cs="Arial"/>
          <w:b/>
          <w:bCs/>
          <w:sz w:val="32"/>
          <w:szCs w:val="32"/>
        </w:rPr>
      </w:pPr>
      <w:r>
        <w:rPr>
          <w:rFonts w:ascii="Arial Nova" w:hAnsi="Arial Nova" w:cs="Arial"/>
          <w:b/>
          <w:bCs/>
          <w:sz w:val="32"/>
          <w:szCs w:val="32"/>
        </w:rPr>
        <w:t>Understanding the Trend and Distribution of Antimicrobial Resistance Using Event Based Surveillance System: EpiWatch</w:t>
      </w:r>
    </w:p>
    <w:p w14:paraId="04DB8F30" w14:textId="6787DAF0" w:rsidR="005C2555" w:rsidRPr="003C3567" w:rsidRDefault="002D3E66" w:rsidP="00D209B2">
      <w:pPr>
        <w:rPr>
          <w:rFonts w:ascii="Arial Nova" w:hAnsi="Arial Nova" w:cs="Arial"/>
          <w:sz w:val="20"/>
          <w:szCs w:val="20"/>
        </w:rPr>
      </w:pPr>
      <w:r>
        <w:rPr>
          <w:rFonts w:ascii="Arial Nova Cond" w:hAnsi="Arial Nova Cond" w:cs="Arial"/>
        </w:rPr>
        <w:t>Princy Poovanna Natolanda</w:t>
      </w:r>
      <w:r w:rsidRPr="00AC38B1">
        <w:rPr>
          <w:rFonts w:ascii="Arial Nova Cond" w:hAnsi="Arial Nova Cond" w:cs="Arial"/>
          <w:vertAlign w:val="superscript"/>
        </w:rPr>
        <w:t>1</w:t>
      </w:r>
      <w:r>
        <w:rPr>
          <w:rFonts w:ascii="Arial Nova Cond" w:hAnsi="Arial Nova Cond" w:cs="Arial"/>
        </w:rPr>
        <w:t>, Aye Moa</w:t>
      </w:r>
      <w:r w:rsidRPr="00AC38B1">
        <w:rPr>
          <w:rFonts w:ascii="Arial Nova Cond" w:hAnsi="Arial Nova Cond" w:cs="Arial"/>
          <w:vertAlign w:val="superscript"/>
        </w:rPr>
        <w:t>1</w:t>
      </w:r>
      <w:r>
        <w:rPr>
          <w:rFonts w:ascii="Arial Nova Cond" w:hAnsi="Arial Nova Cond" w:cs="Arial"/>
        </w:rPr>
        <w:t xml:space="preserve"> &amp; Chandini Raina Macintyre</w:t>
      </w:r>
      <w:r w:rsidR="009D16A1" w:rsidRPr="00AC38B1">
        <w:rPr>
          <w:rFonts w:ascii="Arial Nova Cond" w:hAnsi="Arial Nova Cond" w:cs="Arial"/>
          <w:vertAlign w:val="superscript"/>
        </w:rPr>
        <w:t>1</w:t>
      </w:r>
    </w:p>
    <w:p w14:paraId="5E90CD2A" w14:textId="64690EAA" w:rsidR="00DA7D13" w:rsidRPr="00896E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D209B2"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076795B8">
                <wp:simplePos x="0" y="0"/>
                <wp:positionH relativeFrom="column">
                  <wp:posOffset>-22225</wp:posOffset>
                </wp:positionH>
                <wp:positionV relativeFrom="paragraph">
                  <wp:posOffset>279400</wp:posOffset>
                </wp:positionV>
                <wp:extent cx="64998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252726"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22pt" to="510.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" strokecolor="black [3213]" strokeweight="1pt">
                <v:stroke joinstyle="miter"/>
              </v:line>
            </w:pict>
          </mc:Fallback>
        </mc:AlternateContent>
      </w:r>
      <w:r w:rsidR="002D3E66" w:rsidRPr="002D3E66">
        <w:rPr>
          <w:rFonts w:ascii="Arial Nova Cond Light" w:eastAsia="Times New Roman Uni" w:hAnsi="Arial Nova Cond Light" w:cs="Times New Roman Uni"/>
          <w:sz w:val="20"/>
          <w:szCs w:val="20"/>
        </w:rPr>
        <w:t xml:space="preserve"> </w:t>
      </w:r>
      <w:r w:rsidR="00B65927">
        <w:rPr>
          <w:rFonts w:ascii="Arial Nova Cond Light" w:eastAsia="Times New Roman Uni" w:hAnsi="Arial Nova Cond Light" w:cs="Times New Roman Uni"/>
          <w:sz w:val="20"/>
          <w:szCs w:val="20"/>
        </w:rPr>
        <w:t xml:space="preserve">Biosecurity Program, </w:t>
      </w:r>
      <w:r w:rsidR="002D3E66">
        <w:rPr>
          <w:rFonts w:ascii="Arial Nova Cond Light" w:eastAsia="Times New Roman Uni" w:hAnsi="Arial Nova Cond Light" w:cs="Times New Roman Uni"/>
          <w:sz w:val="20"/>
          <w:szCs w:val="20"/>
        </w:rPr>
        <w:t>Kirby Institute, University of New South Wales, Sydney, Australia</w:t>
      </w:r>
      <w:r w:rsidR="002245F7">
        <w:rPr>
          <w:rFonts w:ascii="Arial Nova Cond Light" w:eastAsia="Times New Roman Uni" w:hAnsi="Arial Nova Cond Light" w:cs="Times New Roman Uni"/>
          <w:sz w:val="20"/>
          <w:szCs w:val="20"/>
        </w:rPr>
        <w:t xml:space="preserve"> </w:t>
      </w:r>
    </w:p>
    <w:p w14:paraId="5A2D1F3C" w14:textId="77777777" w:rsidR="00135CDB" w:rsidRDefault="00135CDB" w:rsidP="002044DC">
      <w:pPr>
        <w:spacing w:after="0" w:line="240" w:lineRule="auto"/>
        <w:rPr>
          <w:rFonts w:ascii="Georgia" w:eastAsia="Times New Roman Uni" w:hAnsi="Georgia" w:cs="Times New Roman"/>
          <w:b/>
          <w:sz w:val="20"/>
          <w:szCs w:val="26"/>
        </w:rPr>
      </w:pPr>
    </w:p>
    <w:p w14:paraId="24919540" w14:textId="46B538D9" w:rsidR="00135CDB" w:rsidRPr="00135CDB" w:rsidRDefault="00916F03" w:rsidP="002044DC">
      <w:pPr>
        <w:spacing w:after="12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515406CF" w14:textId="718A5704" w:rsidR="00135CDB" w:rsidRPr="00135CDB" w:rsidRDefault="00135CDB" w:rsidP="002044DC">
      <w:pPr>
        <w:spacing w:after="120" w:line="240" w:lineRule="auto"/>
        <w:jc w:val="both"/>
        <w:rPr>
          <w:rFonts w:ascii="Georgia" w:hAnsi="Georgia" w:cs="Times New Roman"/>
          <w:sz w:val="20"/>
          <w:szCs w:val="20"/>
          <w:shd w:val="clear" w:color="auto" w:fill="FFFFFF"/>
        </w:rPr>
      </w:pPr>
      <w:r w:rsidRPr="00135CDB">
        <w:rPr>
          <w:rFonts w:ascii="Georgia" w:hAnsi="Georgia" w:cs="Times New Roman"/>
          <w:i/>
          <w:iCs/>
          <w:sz w:val="20"/>
          <w:szCs w:val="20"/>
          <w:shd w:val="clear" w:color="auto" w:fill="FFFFFF"/>
        </w:rPr>
        <w:t>Background:</w:t>
      </w:r>
      <w:r w:rsidRPr="00135CDB">
        <w:rPr>
          <w:rFonts w:ascii="Georgia" w:hAnsi="Georgia" w:cs="Times New Roman"/>
          <w:sz w:val="20"/>
          <w:szCs w:val="20"/>
        </w:rPr>
        <w:t xml:space="preserve"> </w:t>
      </w:r>
      <w:r w:rsidRPr="00135CDB">
        <w:rPr>
          <w:rFonts w:ascii="Georgia" w:hAnsi="Georgia" w:cs="Times New Roman"/>
          <w:sz w:val="20"/>
          <w:szCs w:val="20"/>
          <w:shd w:val="clear" w:color="auto" w:fill="FFFFFF"/>
        </w:rPr>
        <w:t xml:space="preserve">Antimicrobial Resistance (AMR) is a significant public health threat in many countries around the world, endangering the control of infections and infectious disease. AMR related illness has been responsible for annual global mortality of 700,000. Besides health outcomes, they bear an adverse impact on economic development. However, the lack of comprehensive global AMR surveillance data and an over-reliance on an indicator-based surveillance system has limited the early detection of emerging AMR threats and trends. </w:t>
      </w:r>
    </w:p>
    <w:p w14:paraId="595F973C" w14:textId="633926DE" w:rsidR="00135CDB" w:rsidRPr="00135CDB" w:rsidRDefault="00135CDB" w:rsidP="002044DC">
      <w:pPr>
        <w:spacing w:after="120" w:line="240" w:lineRule="auto"/>
        <w:jc w:val="both"/>
        <w:rPr>
          <w:rFonts w:ascii="Georgia" w:hAnsi="Georgia" w:cs="Times New Roman"/>
          <w:sz w:val="20"/>
          <w:szCs w:val="20"/>
          <w:shd w:val="clear" w:color="auto" w:fill="FFFFFF"/>
        </w:rPr>
      </w:pPr>
      <w:r w:rsidRPr="00135CDB">
        <w:rPr>
          <w:rFonts w:ascii="Georgia" w:hAnsi="Georgia" w:cs="Times New Roman"/>
          <w:i/>
          <w:iCs/>
          <w:sz w:val="20"/>
          <w:szCs w:val="20"/>
          <w:shd w:val="clear" w:color="auto" w:fill="FFFFFF"/>
        </w:rPr>
        <w:t xml:space="preserve">Methods: </w:t>
      </w:r>
      <w:r w:rsidRPr="00135CDB">
        <w:rPr>
          <w:rFonts w:ascii="Georgia" w:hAnsi="Georgia" w:cs="Times New Roman"/>
          <w:sz w:val="20"/>
          <w:szCs w:val="20"/>
          <w:shd w:val="clear" w:color="auto" w:fill="FFFFFF"/>
        </w:rPr>
        <w:t xml:space="preserve">The EpiWATCH outbreak database has been used to retrieve AMR outbreak reports between August 2016-March 2020 using keywords such as ‘resistance’, ‘resistant’, ‘superbug’, ‘bugs’, ‘MRSA’ and ‘VRE’. Cases were grouped according to geolocation and time to conduct a descriptive epidemiologic analysis of the outbreak. </w:t>
      </w:r>
    </w:p>
    <w:p w14:paraId="1BB9F885" w14:textId="2294FA93" w:rsidR="00135CDB" w:rsidRPr="00135CDB" w:rsidRDefault="00135CDB" w:rsidP="002044DC">
      <w:pPr>
        <w:spacing w:after="120" w:line="240" w:lineRule="auto"/>
        <w:jc w:val="both"/>
        <w:rPr>
          <w:rFonts w:ascii="Georgia" w:hAnsi="Georgia" w:cs="Times New Roman"/>
          <w:sz w:val="20"/>
          <w:szCs w:val="20"/>
          <w:shd w:val="clear" w:color="auto" w:fill="FFFFFF"/>
        </w:rPr>
      </w:pPr>
      <w:r w:rsidRPr="00135CDB">
        <w:rPr>
          <w:rFonts w:ascii="Georgia" w:hAnsi="Georgia" w:cs="Times New Roman"/>
          <w:i/>
          <w:iCs/>
          <w:sz w:val="20"/>
          <w:szCs w:val="20"/>
          <w:shd w:val="clear" w:color="auto" w:fill="FFFFFF"/>
        </w:rPr>
        <w:t>Results:</w:t>
      </w:r>
      <w:r w:rsidRPr="00135CDB">
        <w:rPr>
          <w:rFonts w:ascii="Georgia" w:hAnsi="Georgia" w:cs="Times New Roman"/>
          <w:sz w:val="20"/>
          <w:szCs w:val="20"/>
          <w:shd w:val="clear" w:color="auto" w:fill="FFFFFF"/>
        </w:rPr>
        <w:t xml:space="preserve"> A total of 60 reports of outbreaks</w:t>
      </w:r>
      <w:r w:rsidRPr="00135CDB">
        <w:rPr>
          <w:rFonts w:ascii="Georgia" w:hAnsi="Georgia" w:cs="Times New Roman"/>
          <w:sz w:val="20"/>
          <w:szCs w:val="20"/>
        </w:rPr>
        <w:t xml:space="preserve"> involving 18,275 cases </w:t>
      </w:r>
      <w:r w:rsidRPr="00135CDB">
        <w:rPr>
          <w:rFonts w:ascii="Georgia" w:hAnsi="Georgia" w:cs="Times New Roman"/>
          <w:sz w:val="20"/>
          <w:szCs w:val="20"/>
          <w:shd w:val="clear" w:color="auto" w:fill="FFFFFF"/>
        </w:rPr>
        <w:t>of AMR were identified from 14 countries between August 2016 and March 2020. Over half of the reports were from the United States of America. The most common reported pathogen was MRSA, followed by drug-resistant Salmonella which includes Salmonella Typhi and non-Typhi Salmonella serovars. The majority of the infections were caused by gram-negative bacteria. Drug-resistant Klebsiella, Acinetobacter and New Delhi Metallo-β-lactamase-1 (NDM-1) Carbapenemase-producing Enterobacteriaceae acquired in hospitals were associated with reported mortality. Schools and universities were at-risk locations in the community for Methicillin-resistant Staphylococcus Aureus (MRSA) outbreaks and in hospital settings, the neonatal units were at risk. EpiWATCH identified reports of AMR for pathogens not captured by the WHO AMR surveillance system, GLASS.</w:t>
      </w:r>
    </w:p>
    <w:p w14:paraId="1C19DF50" w14:textId="7421C1E2" w:rsidR="00135CDB" w:rsidRPr="00CD3760" w:rsidRDefault="00135CDB" w:rsidP="002044DC">
      <w:pPr>
        <w:spacing w:after="120" w:line="240" w:lineRule="auto"/>
        <w:jc w:val="both"/>
        <w:rPr>
          <w:rFonts w:ascii="Georgia" w:hAnsi="Georgia" w:cs="Times New Roman"/>
          <w:sz w:val="20"/>
          <w:szCs w:val="20"/>
        </w:rPr>
      </w:pPr>
      <w:r w:rsidRPr="00135CDB">
        <w:rPr>
          <w:rFonts w:ascii="Georgia" w:hAnsi="Georgia" w:cs="Times New Roman"/>
          <w:i/>
          <w:iCs/>
          <w:sz w:val="20"/>
          <w:szCs w:val="20"/>
          <w:shd w:val="clear" w:color="auto" w:fill="FFFFFF"/>
        </w:rPr>
        <w:t>Conclusion:</w:t>
      </w:r>
      <w:r w:rsidRPr="00135CDB">
        <w:rPr>
          <w:rFonts w:ascii="Georgia" w:hAnsi="Georgia" w:cs="Times New Roman"/>
          <w:sz w:val="20"/>
          <w:szCs w:val="20"/>
          <w:shd w:val="clear" w:color="auto" w:fill="FFFFFF"/>
        </w:rPr>
        <w:t xml:space="preserve"> EpiWATCH identified reported AMR outbreaks quickly compared to an indicator-based surveillance system. It detected outbreaks by pathogens, including some not monitored by the World Health Organization. Also, it identified information on both colonised and infected cases. Thus, open source data from EpiWATCH can complement an indicator-based surveillance system for strengthening AMR surveillance.   </w:t>
      </w:r>
    </w:p>
    <w:p w14:paraId="0AAD187A" w14:textId="4DF71CD4" w:rsidR="00135CDB" w:rsidRPr="00135CDB" w:rsidRDefault="00135CDB" w:rsidP="002044DC">
      <w:pPr>
        <w:spacing w:line="240" w:lineRule="auto"/>
        <w:rPr>
          <w:rFonts w:ascii="Georgia" w:hAnsi="Georgia" w:cs="Times New Roman"/>
          <w:color w:val="000000" w:themeColor="text1"/>
          <w:sz w:val="20"/>
          <w:szCs w:val="20"/>
          <w:shd w:val="clear" w:color="auto" w:fill="FFFFFF"/>
        </w:rPr>
      </w:pPr>
      <w:r w:rsidRPr="00135CDB">
        <w:rPr>
          <w:rFonts w:ascii="Georgia" w:eastAsia="Times New Roman Uni" w:hAnsi="Georgia" w:cs="Times New Roman"/>
          <w:b/>
          <w:sz w:val="20"/>
          <w:szCs w:val="20"/>
          <w:lang w:val="en-US"/>
        </w:rPr>
        <w:t>Key words:</w:t>
      </w:r>
      <w:r w:rsidRPr="00135CDB">
        <w:rPr>
          <w:rFonts w:ascii="Georgia" w:hAnsi="Georgia" w:cs="Times New Roman"/>
          <w:color w:val="000000" w:themeColor="text1"/>
          <w:sz w:val="20"/>
          <w:szCs w:val="20"/>
          <w:shd w:val="clear" w:color="auto" w:fill="FFFFFF"/>
        </w:rPr>
        <w:t xml:space="preserve"> Antimicrobial-resistance, AMR, outbreak surveillance, hospital acquired infections</w:t>
      </w:r>
    </w:p>
    <w:p w14:paraId="1D4D74F5" w14:textId="2D90AD47"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309ABB4A" w:rsidR="00DA7D13" w:rsidRDefault="00135CDB" w:rsidP="00FD3B1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Background</w:t>
      </w:r>
    </w:p>
    <w:p w14:paraId="232E194F" w14:textId="77663E8F" w:rsidR="00135CDB" w:rsidRDefault="00135CDB" w:rsidP="00135CD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35CDB">
        <w:rPr>
          <w:rFonts w:ascii="Georgia" w:hAnsi="Georgia" w:cs="Times New Roman"/>
          <w:sz w:val="20"/>
          <w:szCs w:val="20"/>
        </w:rPr>
        <w:t xml:space="preserve">AMR is a global public health issue and the rapid spread of AMR between continents makes it a health threat internationally. The global annual mortality from AMR related illness exceeds 700,000 and is projected to steeply rise to 10,000,000 by 2050, associated with costs </w:t>
      </w:r>
      <w:r w:rsidRPr="00135CDB">
        <w:rPr>
          <w:rFonts w:ascii="Georgia" w:hAnsi="Georgia" w:cs="Times New Roman"/>
          <w:sz w:val="20"/>
          <w:szCs w:val="20"/>
        </w:rPr>
        <w:fldChar w:fldCharType="begin"/>
      </w:r>
      <w:r w:rsidRPr="00135CDB">
        <w:rPr>
          <w:rFonts w:ascii="Georgia" w:hAnsi="Georgia" w:cs="Times New Roman"/>
          <w:sz w:val="20"/>
          <w:szCs w:val="20"/>
        </w:rPr>
        <w:instrText xml:space="preserve"> ADDIN EN.CITE &lt;EndNote&gt;&lt;Cite&gt;&lt;Author&gt;Allcock&lt;/Author&gt;&lt;Year&gt;2017&lt;/Year&gt;&lt;RecNum&gt;539&lt;/RecNum&gt;&lt;DisplayText&gt;(1)&lt;/DisplayText&gt;&lt;record&gt;&lt;rec-number&gt;539&lt;/rec-number&gt;&lt;foreign-keys&gt;&lt;key app="EN" db-id="zxvt9psxt9rdw9e9rf555s2jpswv95p5wppv" timestamp="1584656655" guid="31d7f55d-45a1-4413-8258-c3983555ee91"&gt;539&lt;/key&gt;&lt;/foreign-keys&gt;&lt;ref-type name="Journal Article"&gt;17&lt;/ref-type&gt;&lt;contributors&gt;&lt;authors&gt;&lt;author&gt;Allcock, Sophie&lt;/author&gt;&lt;author&gt;Young, EH&lt;/author&gt;&lt;author&gt;Holmes, Mark&lt;/author&gt;&lt;author&gt;Gurdasani, D&lt;/author&gt;&lt;author&gt;Dougan, Gordon&lt;/author&gt;&lt;author&gt;Sandhu, MS&lt;/author&gt;&lt;author&gt;Solomon, L&lt;/author&gt;&lt;author&gt;Török, ME&lt;/author&gt;&lt;/authors&gt;&lt;/contributors&gt;&lt;titles&gt;&lt;title&gt;Antimicrobial resistance in human populations: challenges and opportunities&lt;/title&gt;&lt;secondary-title&gt;Global health, epidemiology and genomics&lt;/secondary-title&gt;&lt;/titles&gt;&lt;periodical&gt;&lt;full-title&gt;Global health, epidemiology and genomics&lt;/full-title&gt;&lt;/periodical&gt;&lt;volume&gt;2&lt;/volume&gt;&lt;dates&gt;&lt;year&gt;2017&lt;/year&gt;&lt;/dates&gt;&lt;isbn&gt;2054-4200&lt;/isbn&gt;&lt;urls&gt;&lt;/urls&gt;&lt;/record&gt;&lt;/Cite&gt;&lt;/EndNote&gt;</w:instrText>
      </w:r>
      <w:r w:rsidRPr="00135CDB">
        <w:rPr>
          <w:rFonts w:ascii="Georgia" w:hAnsi="Georgia" w:cs="Times New Roman"/>
          <w:sz w:val="20"/>
          <w:szCs w:val="20"/>
        </w:rPr>
        <w:fldChar w:fldCharType="separate"/>
      </w:r>
      <w:r w:rsidRPr="00135CDB">
        <w:rPr>
          <w:rFonts w:ascii="Georgia" w:hAnsi="Georgia" w:cs="Times New Roman"/>
          <w:noProof/>
          <w:sz w:val="20"/>
          <w:szCs w:val="20"/>
        </w:rPr>
        <w:t>(1)</w:t>
      </w:r>
      <w:r w:rsidRPr="00135CDB">
        <w:rPr>
          <w:rFonts w:ascii="Georgia" w:hAnsi="Georgia" w:cs="Times New Roman"/>
          <w:sz w:val="20"/>
          <w:szCs w:val="20"/>
        </w:rPr>
        <w:fldChar w:fldCharType="end"/>
      </w:r>
      <w:r w:rsidRPr="00135CDB">
        <w:rPr>
          <w:rFonts w:ascii="Georgia" w:hAnsi="Georgia" w:cs="Times New Roman"/>
          <w:sz w:val="20"/>
          <w:szCs w:val="20"/>
        </w:rPr>
        <w:t xml:space="preserve">. Drug-resistant microbes have been isolated from the human and animal population in all the seven continents, including international space stations. In high-income countries, increased antimicrobial usage in humans, farming, livestock and agriculture has facilitated the development of AMR </w:t>
      </w:r>
      <w:r w:rsidRPr="00135CDB">
        <w:rPr>
          <w:rFonts w:ascii="Georgia" w:hAnsi="Georgia" w:cs="Times New Roman"/>
          <w:sz w:val="20"/>
          <w:szCs w:val="20"/>
        </w:rPr>
        <w:fldChar w:fldCharType="begin"/>
      </w:r>
      <w:r w:rsidRPr="00135CDB">
        <w:rPr>
          <w:rFonts w:ascii="Georgia" w:hAnsi="Georgia" w:cs="Times New Roman"/>
          <w:sz w:val="20"/>
          <w:szCs w:val="20"/>
        </w:rPr>
        <w:instrText xml:space="preserve"> ADDIN EN.CITE &lt;EndNote&gt;&lt;Cite&gt;&lt;Author&gt;Laxminarayan&lt;/Author&gt;&lt;Year&gt;2013&lt;/Year&gt;&lt;RecNum&gt;546&lt;/RecNum&gt;&lt;DisplayText&gt;(2)&lt;/DisplayText&gt;&lt;record&gt;&lt;rec-number&gt;546&lt;/rec-number&gt;&lt;foreign-keys&gt;&lt;key app="EN" db-id="zxvt9psxt9rdw9e9rf555s2jpswv95p5wppv" timestamp="1584827566" guid="5e9ea97b-d7ef-496d-8fb3-c6518e573ea9"&gt;546&lt;/key&gt;&lt;/foreign-keys&gt;&lt;ref-type name="Journal Article"&gt;17&lt;/ref-type&gt;&lt;contributors&gt;&lt;authors&gt;&lt;author&gt;Laxminarayan, Ramanan&lt;/author&gt;&lt;author&gt;Duse, Adriano&lt;/author&gt;&lt;author&gt;Wattal, Chand&lt;/author&gt;&lt;author&gt;Zaidi, Anita KM&lt;/author&gt;&lt;author&gt;Wertheim, Heiman FL&lt;/author&gt;&lt;author&gt;Sumpradit, Nithima&lt;/author&gt;&lt;author&gt;Vlieghe, Erika&lt;/author&gt;&lt;author&gt;Hara, Gabriel Levy&lt;/author&gt;&lt;author&gt;Gould, Ian M&lt;/author&gt;&lt;author&gt;Goossens, Herman&lt;/author&gt;&lt;/authors&gt;&lt;/contributors&gt;&lt;titles&gt;&lt;title&gt;Antibiotic resistance—the need for global solutions&lt;/title&gt;&lt;secondary-title&gt;The Lancet infectious diseases&lt;/secondary-title&gt;&lt;/titles&gt;&lt;periodical&gt;&lt;full-title&gt;The Lancet Infectious Diseases&lt;/full-title&gt;&lt;/periodical&gt;&lt;pages&gt;1057-1098&lt;/pages&gt;&lt;volume&gt;13&lt;/volume&gt;&lt;number&gt;12&lt;/number&gt;&lt;dates&gt;&lt;year&gt;2013&lt;/year&gt;&lt;/dates&gt;&lt;isbn&gt;1473-3099&lt;/isbn&gt;&lt;urls&gt;&lt;/urls&gt;&lt;/record&gt;&lt;/Cite&gt;&lt;/EndNote&gt;</w:instrText>
      </w:r>
      <w:r w:rsidRPr="00135CDB">
        <w:rPr>
          <w:rFonts w:ascii="Georgia" w:hAnsi="Georgia" w:cs="Times New Roman"/>
          <w:sz w:val="20"/>
          <w:szCs w:val="20"/>
        </w:rPr>
        <w:fldChar w:fldCharType="separate"/>
      </w:r>
      <w:r w:rsidRPr="00135CDB">
        <w:rPr>
          <w:rFonts w:ascii="Georgia" w:hAnsi="Georgia" w:cs="Times New Roman"/>
          <w:noProof/>
          <w:sz w:val="20"/>
          <w:szCs w:val="20"/>
        </w:rPr>
        <w:t>(2)</w:t>
      </w:r>
      <w:r w:rsidRPr="00135CDB">
        <w:rPr>
          <w:rFonts w:ascii="Georgia" w:hAnsi="Georgia" w:cs="Times New Roman"/>
          <w:sz w:val="20"/>
          <w:szCs w:val="20"/>
        </w:rPr>
        <w:fldChar w:fldCharType="end"/>
      </w:r>
      <w:r w:rsidRPr="00135CDB">
        <w:rPr>
          <w:rFonts w:ascii="Georgia" w:hAnsi="Georgia" w:cs="Times New Roman"/>
          <w:sz w:val="20"/>
          <w:szCs w:val="20"/>
        </w:rPr>
        <w:t xml:space="preserve">. In low and middle-income countries rising antibiotic consumption, increased hospitalisation and prevalence of hospital-acquired infections along with inadequate hygiene, poor sanitary measures and an already existing burden of bacterial infections have contributed to the rapid growth of AMR </w:t>
      </w:r>
      <w:r w:rsidRPr="00135CDB">
        <w:rPr>
          <w:rFonts w:ascii="Georgia" w:hAnsi="Georgia" w:cs="Times New Roman"/>
          <w:sz w:val="20"/>
          <w:szCs w:val="20"/>
        </w:rPr>
        <w:fldChar w:fldCharType="begin"/>
      </w:r>
      <w:r w:rsidRPr="00135CDB">
        <w:rPr>
          <w:rFonts w:ascii="Georgia" w:hAnsi="Georgia" w:cs="Times New Roman"/>
          <w:sz w:val="20"/>
          <w:szCs w:val="20"/>
        </w:rPr>
        <w:instrText xml:space="preserve"> ADDIN EN.CITE &lt;EndNote&gt;&lt;Cite&gt;&lt;Author&gt;Frost&lt;/Author&gt;&lt;Year&gt;2019&lt;/Year&gt;&lt;RecNum&gt;477&lt;/RecNum&gt;&lt;DisplayText&gt;(3)&lt;/DisplayText&gt;&lt;record&gt;&lt;rec-number&gt;477&lt;/rec-number&gt;&lt;foreign-keys&gt;&lt;key app="EN" db-id="zxvt9psxt9rdw9e9rf555s2jpswv95p5wppv" timestamp="1573420962" guid="f1af9e14-36e0-4495-b95b-6331b43af011"&gt;477&lt;/key&gt;&lt;/foreign-keys&gt;&lt;ref-type name="Journal Article"&gt;17&lt;/ref-type&gt;&lt;contributors&gt;&lt;authors&gt;&lt;author&gt;Frost, Isabel&lt;/author&gt;&lt;author&gt;Van Boeckel, Thomas P&lt;/author&gt;&lt;author&gt;Pires, João&lt;/author&gt;&lt;author&gt;Craig, Jessica&lt;/author&gt;&lt;author&gt;Laxminarayan, Ramanan&lt;/author&gt;&lt;/authors&gt;&lt;/contributors&gt;&lt;titles&gt;&lt;title&gt;Global geographic trends in antimicrobial resistance: the role of international travel&lt;/title&gt;&lt;secondary-title&gt;Journal of travel medicine&lt;/secondary-title&gt;&lt;/titles&gt;&lt;periodical&gt;&lt;full-title&gt;Journal of travel medicine&lt;/full-title&gt;&lt;/periodical&gt;&lt;dates&gt;&lt;year&gt;2019&lt;/year&gt;&lt;/dates&gt;&lt;urls&gt;&lt;/urls&gt;&lt;/record&gt;&lt;/Cite&gt;&lt;/EndNote&gt;</w:instrText>
      </w:r>
      <w:r w:rsidRPr="00135CDB">
        <w:rPr>
          <w:rFonts w:ascii="Georgia" w:hAnsi="Georgia" w:cs="Times New Roman"/>
          <w:sz w:val="20"/>
          <w:szCs w:val="20"/>
        </w:rPr>
        <w:fldChar w:fldCharType="separate"/>
      </w:r>
      <w:r w:rsidRPr="00135CDB">
        <w:rPr>
          <w:rFonts w:ascii="Georgia" w:hAnsi="Georgia" w:cs="Times New Roman"/>
          <w:noProof/>
          <w:sz w:val="20"/>
          <w:szCs w:val="20"/>
        </w:rPr>
        <w:t>(3)</w:t>
      </w:r>
      <w:r w:rsidRPr="00135CDB">
        <w:rPr>
          <w:rFonts w:ascii="Georgia" w:hAnsi="Georgia" w:cs="Times New Roman"/>
          <w:sz w:val="20"/>
          <w:szCs w:val="20"/>
        </w:rPr>
        <w:fldChar w:fldCharType="end"/>
      </w:r>
      <w:r w:rsidRPr="00135CDB">
        <w:rPr>
          <w:rFonts w:ascii="Georgia" w:hAnsi="Georgia" w:cs="Times New Roman"/>
          <w:sz w:val="20"/>
          <w:szCs w:val="20"/>
        </w:rPr>
        <w:t xml:space="preserve">. </w:t>
      </w:r>
      <w:bookmarkStart w:id="0" w:name="_Hlk39666832"/>
    </w:p>
    <w:p w14:paraId="482088DD" w14:textId="51862A7B" w:rsidR="00135CDB" w:rsidRDefault="00135CDB" w:rsidP="00135CD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135CDB">
        <w:rPr>
          <w:rFonts w:ascii="Georgia" w:hAnsi="Georgia" w:cs="Times New Roman"/>
          <w:sz w:val="20"/>
          <w:szCs w:val="20"/>
        </w:rPr>
        <w:t xml:space="preserve">The injudicious use of antibiotics in human medicine, veterinary, horticulture, aquaculture and agriculture, and the release of nonmetabolized antibiotic residue into </w:t>
      </w:r>
      <w:r w:rsidRPr="00135CDB">
        <w:rPr>
          <w:rFonts w:ascii="Georgia" w:hAnsi="Georgia" w:cs="Times New Roman"/>
          <w:sz w:val="20"/>
          <w:szCs w:val="20"/>
        </w:rPr>
        <w:t xml:space="preserve">the environment contribute to the emergence of AMR </w:t>
      </w:r>
      <w:r w:rsidRPr="00135CDB">
        <w:rPr>
          <w:rFonts w:ascii="Georgia" w:hAnsi="Georgia" w:cs="Times New Roman"/>
          <w:sz w:val="20"/>
          <w:szCs w:val="20"/>
        </w:rPr>
        <w:fldChar w:fldCharType="begin"/>
      </w:r>
      <w:r w:rsidRPr="00135CDB">
        <w:rPr>
          <w:rFonts w:ascii="Georgia" w:hAnsi="Georgia" w:cs="Times New Roman"/>
          <w:sz w:val="20"/>
          <w:szCs w:val="20"/>
        </w:rPr>
        <w:instrText xml:space="preserve"> ADDIN EN.CITE &lt;EndNote&gt;&lt;Cite&gt;&lt;Author&gt;Aslam&lt;/Author&gt;&lt;Year&gt;2018&lt;/Year&gt;&lt;RecNum&gt;547&lt;/RecNum&gt;&lt;DisplayText&gt;(4)&lt;/DisplayText&gt;&lt;record&gt;&lt;rec-number&gt;547&lt;/rec-number&gt;&lt;foreign-keys&gt;&lt;key app="EN" db-id="zxvt9psxt9rdw9e9rf555s2jpswv95p5wppv" timestamp="1584841576" guid="d1c36421-e3e6-43a4-96e1-169cb6857335"&gt;547&lt;/key&gt;&lt;/foreign-keys&gt;&lt;ref-type name="Journal Article"&gt;17&lt;/ref-type&gt;&lt;contributors&gt;&lt;authors&gt;&lt;author&gt;Aslam, Bilal&lt;/author&gt;&lt;author&gt;Wang, Wei&lt;/author&gt;&lt;author&gt;Arshad, Muhammad Imran&lt;/author&gt;&lt;author&gt;Khurshid, Mohsin&lt;/author&gt;&lt;author&gt;Muzammil, Saima&lt;/author&gt;&lt;author&gt;Rasool, Muhammad Hidayat&lt;/author&gt;&lt;author&gt;Nisar, Muhammad Atif&lt;/author&gt;&lt;author&gt;Alvi, Ruman Farooq&lt;/author&gt;&lt;author&gt;Aslam, Muhammad Aamir&lt;/author&gt;&lt;author&gt;Qamar, Muhammad Usman&lt;/author&gt;&lt;/authors&gt;&lt;/contributors&gt;&lt;titles&gt;&lt;title&gt;Antibiotic resistance: a rundown of a global crisis&lt;/title&gt;&lt;secondary-title&gt;Infection and drug resistance&lt;/secondary-title&gt;&lt;/titles&gt;&lt;periodical&gt;&lt;full-title&gt;Infection and drug resistance&lt;/full-title&gt;&lt;/periodical&gt;&lt;pages&gt;1645&lt;/pages&gt;&lt;volume&gt;11&lt;/volume&gt;&lt;dates&gt;&lt;year&gt;2018&lt;/year&gt;&lt;/dates&gt;&lt;urls&gt;&lt;/urls&gt;&lt;/record&gt;&lt;/Cite&gt;&lt;/EndNote&gt;</w:instrText>
      </w:r>
      <w:r w:rsidRPr="00135CDB">
        <w:rPr>
          <w:rFonts w:ascii="Georgia" w:hAnsi="Georgia" w:cs="Times New Roman"/>
          <w:sz w:val="20"/>
          <w:szCs w:val="20"/>
        </w:rPr>
        <w:fldChar w:fldCharType="separate"/>
      </w:r>
      <w:r w:rsidRPr="00135CDB">
        <w:rPr>
          <w:rFonts w:ascii="Georgia" w:hAnsi="Georgia" w:cs="Times New Roman"/>
          <w:noProof/>
          <w:sz w:val="20"/>
          <w:szCs w:val="20"/>
        </w:rPr>
        <w:t>(4)</w:t>
      </w:r>
      <w:r w:rsidRPr="00135CDB">
        <w:rPr>
          <w:rFonts w:ascii="Georgia" w:hAnsi="Georgia" w:cs="Times New Roman"/>
          <w:sz w:val="20"/>
          <w:szCs w:val="20"/>
        </w:rPr>
        <w:fldChar w:fldCharType="end"/>
      </w:r>
      <w:r w:rsidRPr="00135CDB">
        <w:rPr>
          <w:rFonts w:ascii="Georgia" w:hAnsi="Georgia" w:cs="Times New Roman"/>
          <w:sz w:val="20"/>
          <w:szCs w:val="20"/>
        </w:rPr>
        <w:t xml:space="preserve">. Emergence and spread of AMR reduce the efficacy and limit the choice of antibiotics administered </w:t>
      </w:r>
      <w:r w:rsidRPr="00135CDB">
        <w:rPr>
          <w:rFonts w:ascii="Georgia" w:hAnsi="Georgia" w:cs="Times New Roman"/>
          <w:sz w:val="20"/>
          <w:szCs w:val="20"/>
        </w:rPr>
        <w:fldChar w:fldCharType="begin"/>
      </w:r>
      <w:r w:rsidRPr="00135CDB">
        <w:rPr>
          <w:rFonts w:ascii="Georgia" w:hAnsi="Georgia" w:cs="Times New Roman"/>
          <w:sz w:val="20"/>
          <w:szCs w:val="20"/>
        </w:rPr>
        <w:instrText xml:space="preserve"> ADDIN EN.CITE &lt;EndNote&gt;&lt;Cite&gt;&lt;Author&gt;Lai&lt;/Author&gt;&lt;Year&gt;2014&lt;/Year&gt;&lt;RecNum&gt;465&lt;/RecNum&gt;&lt;DisplayText&gt;(5)&lt;/DisplayText&gt;&lt;record&gt;&lt;rec-number&gt;465&lt;/rec-number&gt;&lt;foreign-keys&gt;&lt;key app="EN" db-id="zxvt9psxt9rdw9e9rf555s2jpswv95p5wppv" timestamp="1573256078" guid="09384ed5-db31-4aa3-8858-889320a9a339"&gt;465&lt;/key&gt;&lt;/foreign-keys&gt;&lt;ref-type name="Journal Article"&gt;17&lt;/ref-type&gt;&lt;contributors&gt;&lt;authors&gt;&lt;author&gt;Lai, Chi-Cheng&lt;/author&gt;&lt;author&gt;Lee, Kyungwon&lt;/author&gt;&lt;author&gt;Xiao, Yonghong&lt;/author&gt;&lt;author&gt;Ahmad, Norazah&lt;/author&gt;&lt;author&gt;Veeraraghavan, Balaji&lt;/author&gt;&lt;author&gt;Thamlikitkul, Visanu&lt;/author&gt;&lt;author&gt;Tambyah, Paul Ananth&lt;/author&gt;&lt;author&gt;Nelwan, RHH&lt;/author&gt;&lt;author&gt;Shibl, Atef M&lt;/author&gt;&lt;author&gt;Wu, Jiunn-Jong&lt;/author&gt;&lt;/authors&gt;&lt;/contributors&gt;&lt;titles&gt;&lt;title&gt;High burden of antimicrobial drug resistance in Asia&lt;/title&gt;&lt;secondary-title&gt;Journal of Global Antimicrobial Resistance&lt;/secondary-title&gt;&lt;/titles&gt;&lt;periodical&gt;&lt;full-title&gt;Journal of Global Antimicrobial Resistance&lt;/full-title&gt;&lt;/periodical&gt;&lt;pages&gt;141-147&lt;/pages&gt;&lt;volume&gt;2&lt;/volume&gt;&lt;number&gt;3&lt;/number&gt;&lt;dates&gt;&lt;year&gt;2014&lt;/year&gt;&lt;/dates&gt;&lt;isbn&gt;2213-7165&lt;/isbn&gt;&lt;urls&gt;&lt;/urls&gt;&lt;/record&gt;&lt;/Cite&gt;&lt;/EndNote&gt;</w:instrText>
      </w:r>
      <w:r w:rsidRPr="00135CDB">
        <w:rPr>
          <w:rFonts w:ascii="Georgia" w:hAnsi="Georgia" w:cs="Times New Roman"/>
          <w:sz w:val="20"/>
          <w:szCs w:val="20"/>
        </w:rPr>
        <w:fldChar w:fldCharType="separate"/>
      </w:r>
      <w:r w:rsidRPr="00135CDB">
        <w:rPr>
          <w:rFonts w:ascii="Georgia" w:hAnsi="Georgia" w:cs="Times New Roman"/>
          <w:noProof/>
          <w:sz w:val="20"/>
          <w:szCs w:val="20"/>
        </w:rPr>
        <w:t>(5)</w:t>
      </w:r>
      <w:r w:rsidRPr="00135CDB">
        <w:rPr>
          <w:rFonts w:ascii="Georgia" w:hAnsi="Georgia" w:cs="Times New Roman"/>
          <w:sz w:val="20"/>
          <w:szCs w:val="20"/>
        </w:rPr>
        <w:fldChar w:fldCharType="end"/>
      </w:r>
      <w:r w:rsidRPr="00135CDB">
        <w:rPr>
          <w:rFonts w:ascii="Georgia" w:hAnsi="Georgia" w:cs="Times New Roman"/>
          <w:sz w:val="20"/>
          <w:szCs w:val="20"/>
        </w:rPr>
        <w:t xml:space="preserve">. By making antimicrobials ineffective, AMR jeopardises the achievements of modern medicine and could potentially result in situations wherein common infections and minor injuries could lead to death (7). </w:t>
      </w:r>
    </w:p>
    <w:p w14:paraId="64A25E32" w14:textId="7D99B5CC" w:rsid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The past decades have witnessed indiscriminate use of antibiotics in human and livestock for therapeutic and prophylactic purpose. Globally, within a span of fifteen years, from 2000 to 2015, human health care has witnessed a 65% rise in intake of antibiotics from 21.1 to 34.8 billion daily doses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&lt;EndNote&gt;&lt;Cite&gt;&lt;Author&gt;Yam&lt;/Author&gt;&lt;Year&gt;2019&lt;/Year&gt;&lt;RecNum&gt;559&lt;/RecNum&gt;&lt;DisplayText&gt;(6)&lt;/DisplayText&gt;&lt;record&gt;&lt;rec-number&gt;559&lt;/rec-number&gt;&lt;foreign-keys&gt;&lt;key app="EN" db-id="zxvt9psxt9rdw9e9rf555s2jpswv95p5wppv" timestamp="1587027486" guid="6e9a13c6-7d4f-4f0f-a8ee-88b6b6498b44"&gt;559&lt;/key&gt;&lt;/foreign-keys&gt;&lt;ref-type name="Generic"&gt;13&lt;/ref-type&gt;&lt;contributors&gt;&lt;authors&gt;&lt;author&gt;Yam, Esabelle Lo Yan&lt;/author&gt;&lt;author&gt;Hsu, Li Yang&lt;/author&gt;&lt;author&gt;Yap, Eric Peng-Huat&lt;/author&gt;&lt;author&gt;Yeo, Tsin Wen&lt;/author&gt;&lt;author&gt;Lee, Vernon&lt;/author&gt;&lt;author&gt;Schlundt, Joergen&lt;/author&gt;&lt;author&gt;Lwin, May O&lt;/author&gt;&lt;author&gt;Limmathurotsakul, Direk&lt;/author&gt;&lt;author&gt;Jit, Mark&lt;/author&gt;&lt;author&gt;Dedon, Peter&lt;/author&gt;&lt;/authors&gt;&lt;/contributors&gt;&lt;titles&gt;&lt;title&gt;Antimicrobial Resistance in the Asia Pacific region: a meeting report&lt;/title&gt;&lt;/titles&gt;&lt;dates&gt;&lt;year&gt;2019&lt;/year&gt;&lt;/dates&gt;&lt;publisher&gt;BioMed Central&lt;/publisher&gt;&lt;isbn&gt;2047-2994&lt;/isbn&gt;&lt;urls&gt;&lt;/urls&gt;&lt;/record&gt;&lt;/Cite&gt;&lt;/EndNote&gt;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(6)</w:t>
      </w:r>
      <w:r w:rsidRPr="00A85C84">
        <w:rPr>
          <w:rFonts w:ascii="Georgia" w:hAnsi="Georgia" w:cs="Times New Roman"/>
          <w:sz w:val="20"/>
          <w:szCs w:val="20"/>
        </w:rPr>
        <w:fldChar w:fldCharType="end"/>
      </w:r>
      <w:r w:rsidRPr="00A85C84">
        <w:rPr>
          <w:rFonts w:ascii="Georgia" w:hAnsi="Georgia" w:cs="Times New Roman"/>
          <w:sz w:val="20"/>
          <w:szCs w:val="20"/>
        </w:rPr>
        <w:t xml:space="preserve">. This widespread use has led to the emergence of Multi-Drug and Extremely-Drug Resistant (MDR &amp; XDR) pathogens most of which fail to respond to conventional treatment and even to last-resort antibiotics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&lt;EndNote&gt;&lt;Cite&gt;&lt;Author&gt;Lo&lt;/Author&gt;&lt;Year&gt;2018&lt;/Year&gt;&lt;RecNum&gt;463&lt;/RecNum&gt;&lt;DisplayText&gt;(7)&lt;/DisplayText&gt;&lt;record&gt;&lt;rec-number&gt;463&lt;/rec-number&gt;&lt;foreign-keys&gt;&lt;key app="EN" db-id="zxvt9psxt9rdw9e9rf555s2jpswv95p5wppv" timestamp="1573205893" guid="6e34eb1b-611a-4efc-8c01-5f08cb3e262a"&gt;463&lt;/key&gt;&lt;/foreign-keys&gt;&lt;ref-type name="Journal Article"&gt;17&lt;/ref-type&gt;&lt;contributors&gt;&lt;authors&gt;&lt;author&gt;Lo, Catherine Yuk-ping&lt;/author&gt;&lt;author&gt;Thomas, Nicholas&lt;/author&gt;&lt;/authors&gt;&lt;/contributors&gt;&lt;titles&gt;&lt;title&gt;The macrosecuritization of antimicrobial resistance in Asia&lt;/title&gt;&lt;secondary-title&gt;Australian Journal of International Affairs&lt;/secondary-title&gt;&lt;/titles&gt;&lt;periodical&gt;&lt;full-title&gt;Australian Journal of International Affairs&lt;/full-title&gt;&lt;/periodical&gt;&lt;pages&gt;567-583&lt;/pages&gt;&lt;volume&gt;72&lt;/volume&gt;&lt;number&gt;6&lt;/number&gt;&lt;dates&gt;&lt;year&gt;2018&lt;/year&gt;&lt;/dates&gt;&lt;isbn&gt;1035-7718&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(7)</w:t>
      </w:r>
      <w:r w:rsidRPr="00A85C84">
        <w:rPr>
          <w:rFonts w:ascii="Georgia" w:hAnsi="Georgia" w:cs="Times New Roman"/>
          <w:sz w:val="20"/>
          <w:szCs w:val="20"/>
        </w:rPr>
        <w:fldChar w:fldCharType="end"/>
      </w:r>
      <w:r w:rsidRPr="00A85C84">
        <w:rPr>
          <w:rFonts w:ascii="Georgia" w:hAnsi="Georgia" w:cs="Times New Roman"/>
          <w:sz w:val="20"/>
          <w:szCs w:val="20"/>
        </w:rPr>
        <w:t xml:space="preserve">. </w:t>
      </w:r>
    </w:p>
    <w:p w14:paraId="3E867543" w14:textId="3B25F9C1" w:rsid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A rising elderly population, accompanied by comorbidities and the increased usage of complex medical procedures with a risk of infection, will increase the requirement for antimicrobials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&lt;EndNote&gt;&lt;Cite&gt;&lt;Author&gt;MacGowan&lt;/Author&gt;&lt;Year&gt;2017&lt;/Year&gt;&lt;RecNum&gt;563&lt;/RecNum&gt;&lt;DisplayText&gt;(8)&lt;/DisplayText&gt;&lt;record&gt;&lt;rec-number&gt;563&lt;/rec-number&gt;&lt;foreign-keys&gt;&lt;key app="EN" db-id="zxvt9psxt9rdw9e9rf555s2jpswv95p5wppv" timestamp="1587028016" guid="104e3322-156a-4f96-969b-7b04306f828b"&gt;563&lt;/key&gt;&lt;/foreign-keys&gt;&lt;ref-type name="Journal Article"&gt;17&lt;/ref-type&gt;&lt;contributors&gt;&lt;authors&gt;&lt;author&gt;MacGowan, Alasdair&lt;/author&gt;&lt;author&gt;Macnaughton, Emily&lt;/author&gt;&lt;/authors&gt;&lt;/contributors&gt;&lt;titles&gt;&lt;title&gt;Antibiotic resistance&lt;/title&gt;&lt;secondary-title&gt;Medicine&lt;/secondary-title&gt;&lt;/titles&gt;&lt;periodical&gt;&lt;full-title&gt;Medicine&lt;/full-title&gt;&lt;/periodical&gt;&lt;pages&gt;622-628&lt;/pages&gt;&lt;volume&gt;45&lt;/volume&gt;&lt;number&gt;10&lt;/number&gt;&lt;dates&gt;&lt;year&gt;2017&lt;/year&gt;&lt;/dates&gt;&lt;isbn&gt;1357-3039&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(8)</w:t>
      </w:r>
      <w:r w:rsidRPr="00A85C84">
        <w:rPr>
          <w:rFonts w:ascii="Georgia" w:hAnsi="Georgia" w:cs="Times New Roman"/>
          <w:sz w:val="20"/>
          <w:szCs w:val="20"/>
        </w:rPr>
        <w:fldChar w:fldCharType="end"/>
      </w:r>
      <w:r w:rsidRPr="00A85C84">
        <w:rPr>
          <w:rFonts w:ascii="Georgia" w:hAnsi="Georgia" w:cs="Times New Roman"/>
          <w:sz w:val="20"/>
          <w:szCs w:val="20"/>
        </w:rPr>
        <w:t xml:space="preserve">. However, since </w:t>
      </w:r>
      <w:r w:rsidRPr="00A85C84">
        <w:rPr>
          <w:rFonts w:ascii="Georgia" w:hAnsi="Georgia" w:cs="Times New Roman"/>
          <w:sz w:val="20"/>
          <w:szCs w:val="20"/>
        </w:rPr>
        <w:lastRenderedPageBreak/>
        <w:t xml:space="preserve">1968 only two classes of antibiotics have been developed. Developing a new drug requires $800,000,000 over 10 years. The high cost of production and the short term of antibiotic use disincentivises the pharmaceutical industries from launching new antibiotics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&lt;EndNote&gt;&lt;Cite&gt;&lt;Author&gt;Lo&lt;/Author&gt;&lt;Year&gt;2018&lt;/Year&gt;&lt;RecNum&gt;463&lt;/RecNum&gt;&lt;DisplayText&gt;(7)&lt;/DisplayText&gt;&lt;record&gt;&lt;rec-number&gt;463&lt;/rec-number&gt;&lt;foreign-keys&gt;&lt;key app="EN" db-id="zxvt9psxt9rdw9e9rf555s2jpswv95p5wppv" timestamp="1573205893" guid="6e34eb1b-611a-4efc-8c01-5f08cb3e262a"&gt;463&lt;/key&gt;&lt;/foreign-keys&gt;&lt;ref-type name="Journal Article"&gt;17&lt;/ref-type&gt;&lt;contributors&gt;&lt;authors&gt;&lt;author&gt;Lo, Catherine Yuk-ping&lt;/author&gt;&lt;author&gt;Thomas, Nicholas&lt;/author&gt;&lt;/authors&gt;&lt;/contributors&gt;&lt;titles&gt;&lt;title&gt;The macrosecuritization of antimicrobial resistance in Asia&lt;/title&gt;&lt;secondary-title&gt;Australian Journal of International Affairs&lt;/secondary-title&gt;&lt;/titles&gt;&lt;periodical&gt;&lt;full-title&gt;Australian Journal of International Affairs&lt;/full-title&gt;&lt;/periodical&gt;&lt;pages&gt;567-583&lt;/pages&gt;&lt;volume&gt;72&lt;/volume&gt;&lt;number&gt;6&lt;/number&gt;&lt;dates&gt;&lt;year&gt;2018&lt;/year&gt;&lt;/dates&gt;&lt;isbn&gt;1035-7718&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(7)</w:t>
      </w:r>
      <w:r w:rsidRPr="00A85C84">
        <w:rPr>
          <w:rFonts w:ascii="Georgia" w:hAnsi="Georgia" w:cs="Times New Roman"/>
          <w:sz w:val="20"/>
          <w:szCs w:val="20"/>
        </w:rPr>
        <w:fldChar w:fldCharType="end"/>
      </w:r>
      <w:r w:rsidRPr="00A85C84">
        <w:rPr>
          <w:rFonts w:ascii="Georgia" w:hAnsi="Georgia" w:cs="Times New Roman"/>
          <w:sz w:val="20"/>
          <w:szCs w:val="20"/>
        </w:rPr>
        <w:t>.  The majority of medical procedures rely heavily on effective antibiotics</w:t>
      </w:r>
      <w:r w:rsidRPr="00A85C84">
        <w:rPr>
          <w:rFonts w:ascii="Georgia" w:hAnsi="Georgia" w:cs="Times New Roman"/>
          <w:noProof/>
          <w:sz w:val="20"/>
          <w:szCs w:val="20"/>
        </w:rPr>
        <w:t xml:space="preserve">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&lt;EndNote&gt;&lt;Cite&gt;&lt;Author&gt;Prestinaci&lt;/Author&gt;&lt;Year&gt;2015&lt;/Year&gt;&lt;RecNum&gt;561&lt;/RecNum&gt;&lt;DisplayText&gt;(9)&lt;/DisplayText&gt;&lt;record&gt;&lt;rec-number&gt;561&lt;/rec-number&gt;&lt;foreign-keys&gt;&lt;key app="EN" db-id="zxvt9psxt9rdw9e9rf555s2jpswv95p5wppv" timestamp="1587027733" guid="394a4528-509c-443e-9581-bec6958bff2f"&gt;561&lt;/key&gt;&lt;/foreign-keys&gt;&lt;ref-type name="Journal Article"&gt;17&lt;/ref-type&gt;&lt;contributors&gt;&lt;authors&gt;&lt;author&gt;Prestinaci, Francesca&lt;/author&gt;&lt;author&gt;Pezzotti, Patrizio&lt;/author&gt;&lt;author&gt;Pantosti, Annalisa&lt;/author&gt;&lt;/authors&gt;&lt;/contributors&gt;&lt;titles&gt;&lt;title&gt;Antimicrobial resistance: a global multifaceted phenomenon&lt;/title&gt;&lt;secondary-title&gt;Pathogens and global health&lt;/secondary-title&gt;&lt;/titles&gt;&lt;periodical&gt;&lt;full-title&gt;Pathogens and global health&lt;/full-title&gt;&lt;/periodical&gt;&lt;pages&gt;309-318&lt;/pages&gt;&lt;volume&gt;109&lt;/volume&gt;&lt;number&gt;7&lt;/number&gt;&lt;dates&gt;&lt;year&gt;2015&lt;/year&gt;&lt;/dates&gt;&lt;isbn&gt;2047-7724&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(9)</w:t>
      </w:r>
      <w:r w:rsidRPr="00A85C84">
        <w:rPr>
          <w:rFonts w:ascii="Georgia" w:hAnsi="Georgia" w:cs="Times New Roman"/>
          <w:sz w:val="20"/>
          <w:szCs w:val="20"/>
        </w:rPr>
        <w:fldChar w:fldCharType="end"/>
      </w:r>
      <w:r w:rsidRPr="00A85C84">
        <w:rPr>
          <w:rFonts w:ascii="Georgia" w:hAnsi="Georgia" w:cs="Times New Roman"/>
          <w:sz w:val="20"/>
          <w:szCs w:val="20"/>
        </w:rPr>
        <w:t xml:space="preserve">. The less potent antibiotics increase the length of hospitalisation and have an unfavourable outcome on surgical and immunosuppressive treatments. Of lately, there has been an increased administration of older drugs like Fosfomycin, Pristinamycin and Colistin, which may have serious adverse effects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&lt;EndNote&gt;&lt;Cite&gt;&lt;Author&gt;MacGowan&lt;/Author&gt;&lt;Year&gt;2017&lt;/Year&gt;&lt;RecNum&gt;563&lt;/RecNum&gt;&lt;DisplayText&gt;(8)&lt;/DisplayText&gt;&lt;record&gt;&lt;rec-number&gt;563&lt;/rec-number&gt;&lt;foreign-keys&gt;&lt;key app="EN" db-id="zxvt9psxt9rdw9e9rf555s2jpswv95p5wppv" timestamp="1587028016" guid="104e3322-156a-4f96-969b-7b04306f828b"&gt;563&lt;/key&gt;&lt;/foreign-keys&gt;&lt;ref-type name="Journal Article"&gt;17&lt;/ref-type&gt;&lt;contributors&gt;&lt;authors&gt;&lt;author&gt;MacGowan, Alasdair&lt;/author&gt;&lt;author&gt;Macnaughton, Emily&lt;/author&gt;&lt;/authors&gt;&lt;/contributors&gt;&lt;titles&gt;&lt;title&gt;Antibiotic resistance&lt;/title&gt;&lt;secondary-title&gt;Medicine&lt;/secondary-title&gt;&lt;/titles&gt;&lt;periodical&gt;&lt;full-title&gt;Medicine&lt;/full-title&gt;&lt;/periodical&gt;&lt;pages&gt;622-628&lt;/pages&gt;&lt;volume&gt;45&lt;/volume&gt;&lt;number&gt;10&lt;/number&gt;&lt;dates&gt;&lt;year&gt;2017&lt;/year&gt;&lt;/dates&gt;&lt;isbn&gt;1357-3039&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(8)</w:t>
      </w:r>
      <w:r w:rsidRPr="00A85C84">
        <w:rPr>
          <w:rFonts w:ascii="Georgia" w:hAnsi="Georgia" w:cs="Times New Roman"/>
          <w:sz w:val="20"/>
          <w:szCs w:val="20"/>
        </w:rPr>
        <w:fldChar w:fldCharType="end"/>
      </w:r>
      <w:r w:rsidRPr="00A85C84">
        <w:rPr>
          <w:rFonts w:ascii="Georgia" w:hAnsi="Georgia" w:cs="Times New Roman"/>
          <w:sz w:val="20"/>
          <w:szCs w:val="20"/>
        </w:rPr>
        <w:t xml:space="preserve">. The current situation highlights the need to preserve the efficacy of currently available antimicrobials by using them cautiously to prevent AMR. </w:t>
      </w:r>
    </w:p>
    <w:p w14:paraId="5B98CBE4" w14:textId="01F50A5A" w:rsid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Surveillance has been recognised as an important strategy to contain AMR. Surveillance data on AMR aids clinical decision making on empirical prescriptions and infection prevention policies in hospitals. They also guide public health actions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&lt;EndNote&gt;&lt;Cite&gt;&lt;Author&gt;Nithya&lt;/Author&gt;&lt;Year&gt;2017&lt;/Year&gt;&lt;RecNum&gt;562&lt;/RecNum&gt;&lt;DisplayText&gt;(10)&lt;/DisplayText&gt;&lt;record&gt;&lt;rec-number&gt;562&lt;/rec-number&gt;&lt;foreign-keys&gt;&lt;key app="EN" db-id="zxvt9psxt9rdw9e9rf555s2jpswv95p5wppv" timestamp="1587027857" guid="3808aefa-ccc8-4729-a3a2-8f6223150b2f"&gt;562&lt;/key&gt;&lt;/foreign-keys&gt;&lt;ref-type name="Journal Article"&gt;17&lt;/ref-type&gt;&lt;contributors&gt;&lt;authors&gt;&lt;author&gt;Nithya, Babu Rajendran&lt;/author&gt;&lt;author&gt;Gladstone, Beryl Primrose&lt;/author&gt;&lt;author&gt;Rodríguez-Baño, Jesús&lt;/author&gt;&lt;author&gt;Sifakis, Frangiscos&lt;/author&gt;&lt;author&gt;Voss, Andreas&lt;/author&gt;&lt;author&gt;Carmeli, Yehuda&lt;/author&gt;&lt;author&gt;Burkert, Francesco Robert&lt;/author&gt;&lt;author&gt;Gkolia, Panagiota&lt;/author&gt;&lt;author&gt;Tacconelli, Evelina&lt;/author&gt;&lt;/authors&gt;&lt;/contributors&gt;&lt;titles&gt;&lt;title&gt;EpideMiology and control measures of outBreaks due to Antibiotic-Resistant orGanisms in EurOpe (EMBARGO): a systematic review protocol&lt;/title&gt;&lt;secondary-title&gt;BMJ open&lt;/secondary-title&gt;&lt;/titles&gt;&lt;periodical&gt;&lt;full-title&gt;BMJ open&lt;/full-title&gt;&lt;/periodical&gt;&lt;pages&gt;e013634&lt;/pages&gt;&lt;volume&gt;7&lt;/volume&gt;&lt;number&gt;1&lt;/number&gt;&lt;dates&gt;&lt;year&gt;2017&lt;/year&gt;&lt;/dates&gt;&lt;isbn&gt;2044-6055&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(10)</w:t>
      </w:r>
      <w:r w:rsidRPr="00A85C84">
        <w:rPr>
          <w:rFonts w:ascii="Georgia" w:hAnsi="Georgia" w:cs="Times New Roman"/>
          <w:sz w:val="20"/>
          <w:szCs w:val="20"/>
        </w:rPr>
        <w:fldChar w:fldCharType="end"/>
      </w:r>
      <w:r w:rsidRPr="00A85C84">
        <w:rPr>
          <w:rFonts w:ascii="Georgia" w:hAnsi="Georgia" w:cs="Times New Roman"/>
          <w:sz w:val="20"/>
          <w:szCs w:val="20"/>
        </w:rPr>
        <w:t xml:space="preserve">. Global surveillance has become a requisite as the ease of international travel and medical tourism have facilitated the resistant strains to cross-national and international boundaries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&lt;EndNote&gt;&lt;Cite&gt;&lt;Author&gt;Bax&lt;/Author&gt;&lt;Year&gt;2001&lt;/Year&gt;&lt;RecNum&gt;564&lt;/RecNum&gt;&lt;DisplayText&gt;(11)&lt;/DisplayText&gt;&lt;record&gt;&lt;rec-number&gt;564&lt;/rec-number&gt;&lt;foreign-keys&gt;&lt;key app="EN" db-id="zxvt9psxt9rdw9e9rf555s2jpswv95p5wppv" timestamp="1587028316" guid="c07e6a33-63ec-4ea9-b9da-0ad9231ed258"&gt;564&lt;/key&gt;&lt;/foreign-keys&gt;&lt;ref-type name="Journal Article"&gt;17&lt;/ref-type&gt;&lt;contributors&gt;&lt;authors&gt;&lt;author&gt;Bax, Richard&lt;/author&gt;&lt;author&gt;Bywater, R&lt;/author&gt;&lt;author&gt;Cornaglia, Giuseppe&lt;/author&gt;&lt;author&gt;Goossens, Herman&lt;/author&gt;&lt;author&gt;Hunter, P&lt;/author&gt;&lt;author&gt;Isham, Valerie&lt;/author&gt;&lt;author&gt;Jarlier, Vincent&lt;/author&gt;&lt;author&gt;Jones, Robert&lt;/author&gt;&lt;author&gt;Phillips, Ian&lt;/author&gt;&lt;author&gt;Sahm, D&lt;/author&gt;&lt;/authors&gt;&lt;/contributors&gt;&lt;titles&gt;&lt;title&gt;Surveillance of antimicrobial resistance—what, how and whither?&lt;/title&gt;&lt;secondary-title&gt;Clinical Microbiology and Infection&lt;/secondary-title&gt;&lt;/titles&gt;&lt;periodical&gt;&lt;full-title&gt;Clinical Microbiology and Infection&lt;/full-title&gt;&lt;/periodical&gt;&lt;pages&gt;316-325&lt;/pages&gt;&lt;volume&gt;7&lt;/volume&gt;&lt;number&gt;6&lt;/number&gt;&lt;dates&gt;&lt;year&gt;2001&lt;/year&gt;&lt;/dates&gt;&lt;isbn&gt;1198-743X&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(11)</w:t>
      </w:r>
      <w:r w:rsidRPr="00A85C84">
        <w:rPr>
          <w:rFonts w:ascii="Georgia" w:hAnsi="Georgia" w:cs="Times New Roman"/>
          <w:sz w:val="20"/>
          <w:szCs w:val="20"/>
        </w:rPr>
        <w:fldChar w:fldCharType="end"/>
      </w:r>
      <w:r w:rsidRPr="00A85C84">
        <w:rPr>
          <w:rFonts w:ascii="Georgia" w:hAnsi="Georgia" w:cs="Times New Roman"/>
          <w:sz w:val="20"/>
          <w:szCs w:val="20"/>
        </w:rPr>
        <w:t xml:space="preserve">. However, the present surveillance systems are disconnected and underdeveloped, and there is no global surveillance data available. This limits quantification of AMR related morbidity and mortality. </w:t>
      </w:r>
    </w:p>
    <w:p w14:paraId="309AD6D1" w14:textId="17857460" w:rsidR="00A85C84" w:rsidRP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The WHO acknowledges the gaps in knowledge of magnitude and distribution of AMR and  has launched an indicator-based surveillance system, the Global Antimicrobial Resistance Surveillance System (GLASS) in 2015, to collect country reported AMR data, and has 68 countries voluntarily reporting to it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&lt;EndNote&gt;&lt;Cite&gt;&lt;Author&gt;Frost&lt;/Author&gt;&lt;Year&gt;2019&lt;/Year&gt;&lt;RecNum&gt;477&lt;/RecNum&gt;&lt;DisplayText&gt;(3)&lt;/DisplayText&gt;&lt;record&gt;&lt;rec-number&gt;477&lt;/rec-number&gt;&lt;foreign-keys&gt;&lt;key app="EN" db-id="zxvt9psxt9rdw9e9rf555s2jpswv95p5wppv" timestamp="1573420962" guid="f1af9e14-36e0-4495-b95b-6331b43af011"&gt;477&lt;/key&gt;&lt;/foreign-keys&gt;&lt;ref-type name="Journal Article"&gt;17&lt;/ref-type&gt;&lt;contributors&gt;&lt;authors&gt;&lt;author&gt;Frost, Isabel&lt;/author&gt;&lt;author&gt;Van Boeckel, Thomas P&lt;/author&gt;&lt;author&gt;Pires, João&lt;/author&gt;&lt;author&gt;Craig, Jessica&lt;/author&gt;&lt;author&gt;Laxminarayan, Ramanan&lt;/author&gt;&lt;/authors&gt;&lt;/contributors&gt;&lt;titles&gt;&lt;title&gt;Global geographic trends in antimicrobial resistance: the role of international travel&lt;/title&gt;&lt;secondary-title&gt;Journal of travel medicine&lt;/secondary-title&gt;&lt;/titles&gt;&lt;periodical&gt;&lt;full-title&gt;Journal of travel medicine&lt;/full-title&gt;&lt;/periodical&gt;&lt;dates&gt;&lt;year&gt;2019&lt;/year&gt;&lt;/dates&gt;&lt;urls&gt;&lt;/urls&gt;&lt;/record&gt;&lt;/Cite&gt;&lt;/EndNote&gt;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(3)</w:t>
      </w:r>
      <w:r w:rsidRPr="00A85C84">
        <w:rPr>
          <w:rFonts w:ascii="Georgia" w:hAnsi="Georgia" w:cs="Times New Roman"/>
          <w:sz w:val="20"/>
          <w:szCs w:val="20"/>
        </w:rPr>
        <w:fldChar w:fldCharType="end"/>
      </w:r>
      <w:r w:rsidRPr="00A85C84">
        <w:rPr>
          <w:rFonts w:ascii="Georgia" w:hAnsi="Georgia" w:cs="Times New Roman"/>
          <w:sz w:val="20"/>
          <w:szCs w:val="20"/>
        </w:rPr>
        <w:t xml:space="preserve">. However, GLASS currently does not capture comprehensive data. Indicator based surveillance is the oldest, commonest and widely used method used by public health agencies for collecting and analysing structured data based on established protocols </w:t>
      </w:r>
      <w:r w:rsidRPr="00A85C84">
        <w:rPr>
          <w:rFonts w:ascii="Georgia" w:hAnsi="Georgia" w:cs="Times New Roman"/>
          <w:sz w:val="20"/>
          <w:szCs w:val="20"/>
        </w:rPr>
        <w:fldChar w:fldCharType="begin"/>
      </w:r>
      <w:r w:rsidRPr="00A85C84">
        <w:rPr>
          <w:rFonts w:ascii="Georgia" w:hAnsi="Georgia" w:cs="Times New Roman"/>
          <w:sz w:val="20"/>
          <w:szCs w:val="20"/>
        </w:rPr>
        <w:instrText xml:space="preserve"> ADDIN EN.CITE &lt;EndNote&gt;&lt;Cite&gt;&lt;Author&gt;Velasco&lt;/Author&gt;&lt;Year&gt;2014&lt;/Year&gt;&lt;RecNum&gt;550&lt;/RecNum&gt;&lt;DisplayText&gt;(12)&lt;/DisplayText&gt;&lt;record&gt;&lt;rec-number&gt;550&lt;/rec-number&gt;&lt;foreign-keys&gt;&lt;key app="EN" db-id="zxvt9psxt9rdw9e9rf555s2jpswv95p5wppv" timestamp="1584877751" guid="d26e59a4-2777-435f-af35-82110762cb79"&gt;550&lt;/key&gt;&lt;/foreign-keys&gt;&lt;ref-type name="Journal Article"&gt;17&lt;/ref-type&gt;&lt;contributors&gt;&lt;authors&gt;&lt;author&gt;Velasco, Edward&lt;/author&gt;&lt;author&gt;Agheneza, Tumacha&lt;/author&gt;&lt;author&gt;Denecke, Kerstin&lt;/author&gt;&lt;author&gt;Kirchner, Goeran&lt;/author&gt;&lt;author&gt;Eckmanns, Tim&lt;/author&gt;&lt;/authors&gt;&lt;/contributors&gt;&lt;titles&gt;&lt;title&gt;Social media and internet</w:instrText>
      </w:r>
      <w:r w:rsidRPr="00A85C84">
        <w:rPr>
          <w:rFonts w:ascii="Cambria Math" w:hAnsi="Cambria Math" w:cs="Cambria Math"/>
          <w:sz w:val="20"/>
          <w:szCs w:val="20"/>
        </w:rPr>
        <w:instrText>‐</w:instrText>
      </w:r>
      <w:r w:rsidRPr="00A85C84">
        <w:rPr>
          <w:rFonts w:ascii="Georgia" w:hAnsi="Georgia" w:cs="Times New Roman"/>
          <w:sz w:val="20"/>
          <w:szCs w:val="20"/>
        </w:rPr>
        <w:instrText>based data in global systems for public health surveillance: a systematic review&lt;/title&gt;&lt;secondary-title&gt;The Milbank Quarterly&lt;/secondary-title&gt;&lt;/titles&gt;&lt;periodical&gt;&lt;full-title&gt;The Milbank Quarterly&lt;/full-title&gt;&lt;/periodical&gt;&lt;pages&gt;7-33&lt;/pages&gt;&lt;volume&gt;92&lt;/volume&gt;&lt;number&gt;1&lt;/number&gt;&lt;dates&gt;&lt;year&gt;2014&lt;/year&gt;&lt;/dates&gt;&lt;isbn&gt;0887-378X&lt;/isbn&gt;&lt;urls&gt;&lt;/urls&gt;&lt;/record&gt;&lt;/Cite&gt;&lt;/EndNote&gt;</w:instrText>
      </w:r>
      <w:r w:rsidRPr="00A85C84">
        <w:rPr>
          <w:rFonts w:ascii="Georgia" w:hAnsi="Georgia" w:cs="Times New Roman"/>
          <w:sz w:val="20"/>
          <w:szCs w:val="20"/>
        </w:rPr>
        <w:fldChar w:fldCharType="separate"/>
      </w:r>
      <w:r w:rsidRPr="00A85C84">
        <w:rPr>
          <w:rFonts w:ascii="Georgia" w:hAnsi="Georgia" w:cs="Times New Roman"/>
          <w:noProof/>
          <w:sz w:val="20"/>
          <w:szCs w:val="20"/>
        </w:rPr>
        <w:t>(12)</w:t>
      </w:r>
      <w:r w:rsidRPr="00A85C84">
        <w:rPr>
          <w:rFonts w:ascii="Georgia" w:hAnsi="Georgia" w:cs="Times New Roman"/>
          <w:sz w:val="20"/>
          <w:szCs w:val="20"/>
        </w:rPr>
        <w:fldChar w:fldCharType="end"/>
      </w:r>
      <w:r w:rsidRPr="00A85C84">
        <w:rPr>
          <w:rFonts w:ascii="Georgia" w:hAnsi="Georgia" w:cs="Times New Roman"/>
          <w:sz w:val="20"/>
          <w:szCs w:val="20"/>
        </w:rPr>
        <w:t>. Though GLASS employs reliable methods, its ability to quickly detect potential threats and completeness of reporting are deficient. Importantly, due to predefined structure and surveillance pathogens, it is poorly equipped to identify new or unpredicted disease occurrence. The use of open source data to gain a more comprehensive overview of AMR globally is another approach to surveillance.</w:t>
      </w:r>
    </w:p>
    <w:p w14:paraId="4487D41A" w14:textId="77777777" w:rsidR="002044DC" w:rsidRDefault="002044DC" w:rsidP="00A85C84">
      <w:pPr>
        <w:spacing w:after="0" w:line="240" w:lineRule="auto"/>
        <w:jc w:val="both"/>
        <w:rPr>
          <w:rFonts w:ascii="Georgia" w:eastAsia="Times New Roman Uni" w:hAnsi="Georgia" w:cs="Times New Roman"/>
          <w:b/>
          <w:sz w:val="20"/>
          <w:szCs w:val="26"/>
        </w:rPr>
      </w:pPr>
    </w:p>
    <w:p w14:paraId="06796F48" w14:textId="5D55ED92" w:rsidR="00A85C84" w:rsidRDefault="00A85C84" w:rsidP="00A85C84">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Aim</w:t>
      </w:r>
    </w:p>
    <w:p w14:paraId="1A39F4FC" w14:textId="5A7FEF3E" w:rsid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To assess the pattern of reported AMR at a global level using EpiWATCH, an event-based open-source surveillance system. </w:t>
      </w:r>
    </w:p>
    <w:p w14:paraId="7909F8C8" w14:textId="77777777" w:rsidR="00A85C84" w:rsidRPr="00A85C84" w:rsidRDefault="00A85C84" w:rsidP="00A85C84">
      <w:pPr>
        <w:spacing w:after="0" w:line="240" w:lineRule="auto"/>
        <w:jc w:val="both"/>
        <w:rPr>
          <w:rFonts w:ascii="Georgia" w:hAnsi="Georgia" w:cs="Times New Roman"/>
          <w:sz w:val="20"/>
          <w:szCs w:val="20"/>
        </w:rPr>
      </w:pPr>
    </w:p>
    <w:p w14:paraId="48E449E4" w14:textId="1DC498E5" w:rsidR="00A85C84" w:rsidRDefault="00A85C84" w:rsidP="00A85C84">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Methodology</w:t>
      </w:r>
    </w:p>
    <w:p w14:paraId="4EBA19A6" w14:textId="1AC1796A" w:rsid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EpiWATCH is a “semi-automated outbreak data collection and analysis observatory that monitors and provides critical analysis of global outbreaks and epidemics of public health significance using publicly available sources. It is created and run by The NHMRC Centre for Research Excellence, Integrated Systems for Epidemic Response (ISER)”. The database has over </w:t>
      </w:r>
      <w:r w:rsidRPr="00A85C84">
        <w:rPr>
          <w:rFonts w:ascii="Georgia" w:hAnsi="Georgia" w:cs="Times New Roman"/>
          <w:sz w:val="20"/>
          <w:szCs w:val="20"/>
        </w:rPr>
        <w:t>10,000 outbreaks from 2016 onward that can be searched on disease, date, location and other keywords.</w:t>
      </w:r>
    </w:p>
    <w:p w14:paraId="39461064" w14:textId="60ACB984" w:rsidR="00A85C84" w:rsidRDefault="00A85C84" w:rsidP="00A85C84">
      <w:pPr>
        <w:spacing w:after="0" w:line="240" w:lineRule="auto"/>
        <w:jc w:val="both"/>
        <w:rPr>
          <w:rFonts w:ascii="Georgia" w:hAnsi="Georgia" w:cs="Times New Roman"/>
          <w:color w:val="201F1E"/>
          <w:sz w:val="20"/>
          <w:szCs w:val="20"/>
          <w:bdr w:val="none" w:sz="0" w:space="0" w:color="auto" w:frame="1"/>
          <w:lang w:val="en-GB"/>
        </w:rPr>
      </w:pPr>
      <w:r>
        <w:rPr>
          <w:rFonts w:ascii="Georgia" w:hAnsi="Georgia" w:cs="Times New Roman"/>
          <w:color w:val="201F1E"/>
          <w:sz w:val="20"/>
          <w:szCs w:val="20"/>
          <w:bdr w:val="none" w:sz="0" w:space="0" w:color="auto" w:frame="1"/>
          <w:lang w:val="en-GB"/>
        </w:rPr>
        <w:t xml:space="preserve">    </w:t>
      </w:r>
      <w:r w:rsidRPr="00A85C84">
        <w:rPr>
          <w:rFonts w:ascii="Georgia" w:hAnsi="Georgia" w:cs="Times New Roman"/>
          <w:color w:val="201F1E"/>
          <w:sz w:val="20"/>
          <w:szCs w:val="20"/>
          <w:bdr w:val="none" w:sz="0" w:space="0" w:color="auto" w:frame="1"/>
          <w:lang w:val="en-GB"/>
        </w:rPr>
        <w:t xml:space="preserve">Media reports on antimicrobial resistance globally were retrieved from EpiWATCH between August 2016-March 2020. The outbreak database was searched using keywords such as ‘resistance’, ‘resistant’, ‘superbug’, ‘bugs’, ‘MRSA’ and ‘VRE’. The process was repeated twice to ensure all reports relating to AMR were extracted accurately. Inclusion criteria were articles reporting AMR outbreaks from 1 August 2016 to 30 March 2020. All the retrieved articles were assessed </w:t>
      </w:r>
      <w:r w:rsidR="002044DC" w:rsidRPr="00A85C84">
        <w:rPr>
          <w:rFonts w:ascii="Georgia" w:hAnsi="Georgia" w:cs="Times New Roman"/>
          <w:color w:val="201F1E"/>
          <w:sz w:val="20"/>
          <w:szCs w:val="20"/>
          <w:bdr w:val="none" w:sz="0" w:space="0" w:color="auto" w:frame="1"/>
          <w:lang w:val="en-GB"/>
        </w:rPr>
        <w:t>thoroughly,</w:t>
      </w:r>
      <w:r w:rsidRPr="00A85C84">
        <w:rPr>
          <w:rFonts w:ascii="Georgia" w:hAnsi="Georgia" w:cs="Times New Roman"/>
          <w:color w:val="201F1E"/>
          <w:sz w:val="20"/>
          <w:szCs w:val="20"/>
          <w:bdr w:val="none" w:sz="0" w:space="0" w:color="auto" w:frame="1"/>
          <w:lang w:val="en-GB"/>
        </w:rPr>
        <w:t xml:space="preserve"> and duplicates were removed. </w:t>
      </w:r>
    </w:p>
    <w:p w14:paraId="30A961BF" w14:textId="7D3D3A62" w:rsidR="00A85C84" w:rsidRDefault="00A85C84" w:rsidP="00A85C84">
      <w:pPr>
        <w:spacing w:after="0" w:line="240" w:lineRule="auto"/>
        <w:jc w:val="both"/>
        <w:rPr>
          <w:rFonts w:ascii="Georgia" w:hAnsi="Georgia" w:cs="Times New Roman"/>
          <w:color w:val="201F1E"/>
          <w:sz w:val="20"/>
          <w:szCs w:val="20"/>
          <w:bdr w:val="none" w:sz="0" w:space="0" w:color="auto" w:frame="1"/>
          <w:lang w:val="en-GB"/>
        </w:rPr>
      </w:pPr>
      <w:r>
        <w:rPr>
          <w:rFonts w:ascii="Georgia" w:hAnsi="Georgia" w:cs="Times New Roman"/>
          <w:color w:val="201F1E"/>
          <w:sz w:val="20"/>
          <w:szCs w:val="20"/>
          <w:bdr w:val="none" w:sz="0" w:space="0" w:color="auto" w:frame="1"/>
          <w:lang w:val="en-GB"/>
        </w:rPr>
        <w:t xml:space="preserve">    </w:t>
      </w:r>
      <w:r w:rsidRPr="00A85C84">
        <w:rPr>
          <w:rFonts w:ascii="Georgia" w:hAnsi="Georgia" w:cs="Times New Roman"/>
          <w:color w:val="201F1E"/>
          <w:sz w:val="20"/>
          <w:szCs w:val="20"/>
          <w:bdr w:val="none" w:sz="0" w:space="0" w:color="auto" w:frame="1"/>
          <w:lang w:val="en-GB"/>
        </w:rPr>
        <w:t xml:space="preserve">For the analysis, data from all reported outbreak AMR cases were grouped according to geolocation and time in which they occurred. Descriptive epidemiologic analysis of the outbreaks has been conducted and additional public domain data was sought where necessary.  </w:t>
      </w:r>
    </w:p>
    <w:p w14:paraId="1A1B0EF8" w14:textId="75BCEB59" w:rsidR="00A85C84" w:rsidRDefault="00A85C84" w:rsidP="00A85C84">
      <w:pPr>
        <w:spacing w:after="0" w:line="240" w:lineRule="auto"/>
        <w:jc w:val="both"/>
        <w:rPr>
          <w:rFonts w:ascii="Georgia" w:hAnsi="Georgia" w:cs="Times New Roman"/>
          <w:color w:val="201F1E"/>
          <w:sz w:val="20"/>
          <w:szCs w:val="20"/>
          <w:bdr w:val="none" w:sz="0" w:space="0" w:color="auto" w:frame="1"/>
          <w:lang w:val="en-GB"/>
        </w:rPr>
      </w:pPr>
      <w:r>
        <w:rPr>
          <w:rStyle w:val="CommentReference"/>
          <w:rFonts w:ascii="Georgia" w:hAnsi="Georgia" w:cs="Times New Roman"/>
          <w:sz w:val="20"/>
          <w:szCs w:val="20"/>
        </w:rPr>
        <w:t xml:space="preserve">    </w:t>
      </w:r>
      <w:r w:rsidRPr="00A85C84">
        <w:rPr>
          <w:rStyle w:val="CommentReference"/>
          <w:rFonts w:ascii="Georgia" w:hAnsi="Georgia" w:cs="Times New Roman"/>
          <w:sz w:val="20"/>
          <w:szCs w:val="20"/>
        </w:rPr>
        <w:t>T</w:t>
      </w:r>
      <w:r w:rsidRPr="00A85C84">
        <w:rPr>
          <w:rFonts w:ascii="Georgia" w:hAnsi="Georgia" w:cs="Times New Roman"/>
          <w:color w:val="201F1E"/>
          <w:sz w:val="20"/>
          <w:szCs w:val="20"/>
          <w:bdr w:val="none" w:sz="0" w:space="0" w:color="auto" w:frame="1"/>
          <w:lang w:val="en-GB"/>
        </w:rPr>
        <w:t>he EpiWATCH data was compared to the WHO’s AMR surveillance system, GLASS. GLASS has 68 countries voluntarily providing national AMR data</w:t>
      </w:r>
      <w:r w:rsidRPr="00A85C84">
        <w:rPr>
          <w:rFonts w:ascii="Georgia" w:hAnsi="Georgia" w:cs="Times New Roman"/>
          <w:color w:val="201F1E"/>
          <w:sz w:val="20"/>
          <w:szCs w:val="20"/>
          <w:bdr w:val="none" w:sz="0" w:space="0" w:color="auto" w:frame="1"/>
          <w:lang w:val="en-GB"/>
        </w:rPr>
        <w:fldChar w:fldCharType="begin"/>
      </w:r>
      <w:r w:rsidRPr="00A85C84">
        <w:rPr>
          <w:rFonts w:ascii="Georgia" w:hAnsi="Georgia" w:cs="Times New Roman"/>
          <w:color w:val="201F1E"/>
          <w:sz w:val="20"/>
          <w:szCs w:val="20"/>
          <w:bdr w:val="none" w:sz="0" w:space="0" w:color="auto" w:frame="1"/>
          <w:lang w:val="en-GB"/>
        </w:rPr>
        <w:instrText xml:space="preserve"> ADDIN EN.CITE &lt;EndNote&gt;&lt;Cite&gt;&lt;Author&gt;Organization&lt;/Author&gt;&lt;Year&gt;2019&lt;/Year&gt;&lt;RecNum&gt;567&lt;/RecNum&gt;&lt;DisplayText&gt;(13)&lt;/DisplayText&gt;&lt;record&gt;&lt;rec-number&gt;567&lt;/rec-number&gt;&lt;foreign-keys&gt;&lt;key app="EN" db-id="zxvt9psxt9rdw9e9rf555s2jpswv95p5wppv" timestamp="1587130915" guid="f2d32955-aa85-451a-9c85-fd3d51af9326"&gt;567&lt;/key&gt;&lt;/foreign-keys&gt;&lt;ref-type name="Generic"&gt;13&lt;/ref-type&gt;&lt;contributors&gt;&lt;authors&gt;&lt;author&gt;World Health Organization&lt;/author&gt;&lt;/authors&gt;&lt;/contributors&gt;&lt;titles&gt;&lt;title&gt;Global Antimicrobial Resistance Surveillance System (GLASS) Report: Early implementation 2016-2017. Geneva: WHO; 2017&lt;/title&gt;&lt;/titles&gt;&lt;dates&gt;&lt;year&gt;2019&lt;/year&gt;&lt;/dates&gt;&lt;urls&gt;&lt;/urls&gt;&lt;/record&gt;&lt;/Cite&gt;&lt;/EndNote&gt;</w:instrText>
      </w:r>
      <w:r w:rsidRPr="00A85C84">
        <w:rPr>
          <w:rFonts w:ascii="Georgia" w:hAnsi="Georgia" w:cs="Times New Roman"/>
          <w:color w:val="201F1E"/>
          <w:sz w:val="20"/>
          <w:szCs w:val="20"/>
          <w:bdr w:val="none" w:sz="0" w:space="0" w:color="auto" w:frame="1"/>
          <w:lang w:val="en-GB"/>
        </w:rPr>
        <w:fldChar w:fldCharType="end"/>
      </w:r>
      <w:r w:rsidRPr="00A85C84">
        <w:rPr>
          <w:rFonts w:ascii="Georgia" w:hAnsi="Georgia" w:cs="Times New Roman"/>
          <w:color w:val="201F1E"/>
          <w:sz w:val="20"/>
          <w:szCs w:val="20"/>
          <w:bdr w:val="none" w:sz="0" w:space="0" w:color="auto" w:frame="1"/>
          <w:lang w:val="en-GB"/>
        </w:rPr>
        <w:t xml:space="preserve">. Thus, to fairly present comparison in data between the two systems, only three countries providing the maximum number of resistant isolates and specimen have been chosen for each WHO region. Similarly, in measuring resistance of pathogens to antibiotics, only those isolates or specimen from either blood or urine culture more than 75% resistant to the antibiotic have been nominated. However, all the reporting countries to the WHO were included in measuring pathogen resistance to antibacterial. </w:t>
      </w:r>
    </w:p>
    <w:p w14:paraId="0B4E2D03" w14:textId="3B8F43F8" w:rsidR="00A85C84" w:rsidRPr="00A85C84" w:rsidRDefault="00A85C84" w:rsidP="00A85C84">
      <w:pPr>
        <w:spacing w:after="0" w:line="240" w:lineRule="auto"/>
        <w:jc w:val="both"/>
        <w:rPr>
          <w:rFonts w:ascii="Georgia" w:hAnsi="Georgia" w:cs="Times New Roman"/>
          <w:color w:val="201F1E"/>
          <w:sz w:val="20"/>
          <w:szCs w:val="20"/>
          <w:bdr w:val="none" w:sz="0" w:space="0" w:color="auto" w:frame="1"/>
          <w:lang w:val="en-GB"/>
        </w:rPr>
      </w:pPr>
      <w:r>
        <w:rPr>
          <w:rFonts w:ascii="Georgia" w:hAnsi="Georgia" w:cs="Times New Roman"/>
          <w:sz w:val="20"/>
          <w:szCs w:val="20"/>
        </w:rPr>
        <w:t xml:space="preserve">    </w:t>
      </w:r>
      <w:r w:rsidRPr="00A85C84">
        <w:rPr>
          <w:rFonts w:ascii="Georgia" w:hAnsi="Georgia" w:cs="Times New Roman"/>
          <w:sz w:val="20"/>
          <w:szCs w:val="20"/>
        </w:rPr>
        <w:t>The GLASS surveillance system gathers data on selected bacteria of international concern, responsible for infection in humans such as Acinetobacter spp., Escherichia coli, Klebsiella pneumoniae, Neisseria gonorrhoeae, Salmonella spp., Shigella spp., Staphylococcus aureus, and Streptococcus pneumoniae. GLASS monitors DR Mycobacterium Tuberculosis separately.</w:t>
      </w:r>
    </w:p>
    <w:p w14:paraId="6B9DB3BC" w14:textId="67671F0F" w:rsidR="00A85C84" w:rsidRDefault="00A85C84" w:rsidP="00A85C84">
      <w:pPr>
        <w:spacing w:after="0" w:line="240" w:lineRule="auto"/>
        <w:jc w:val="both"/>
        <w:rPr>
          <w:rFonts w:ascii="Georgia" w:hAnsi="Georgia" w:cs="Times New Roman"/>
          <w:sz w:val="20"/>
          <w:szCs w:val="20"/>
        </w:rPr>
      </w:pPr>
    </w:p>
    <w:p w14:paraId="21076A57" w14:textId="1D6A8784" w:rsidR="00A85C84" w:rsidRDefault="00A85C84" w:rsidP="00A85C84">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Results</w:t>
      </w:r>
    </w:p>
    <w:p w14:paraId="5367665A" w14:textId="77777777" w:rsidR="002044DC" w:rsidRDefault="00A85C84" w:rsidP="00A85C84">
      <w:pPr>
        <w:spacing w:after="0" w:line="240" w:lineRule="auto"/>
        <w:jc w:val="both"/>
        <w:rPr>
          <w:rFonts w:ascii="Georgia" w:hAnsi="Georgia" w:cs="Times New Roman"/>
          <w:sz w:val="20"/>
          <w:szCs w:val="20"/>
        </w:rPr>
      </w:pPr>
      <w:r>
        <w:rPr>
          <w:rFonts w:ascii="Georgia" w:hAnsi="Georgia" w:cs="Times New Roman"/>
          <w:color w:val="201F1E"/>
          <w:sz w:val="20"/>
          <w:szCs w:val="20"/>
          <w:bdr w:val="none" w:sz="0" w:space="0" w:color="auto" w:frame="1"/>
          <w:lang w:val="en-GB"/>
        </w:rPr>
        <w:t xml:space="preserve">    </w:t>
      </w:r>
      <w:r w:rsidRPr="00A85C84">
        <w:rPr>
          <w:rFonts w:ascii="Georgia" w:hAnsi="Georgia" w:cs="Times New Roman"/>
          <w:color w:val="201F1E"/>
          <w:sz w:val="20"/>
          <w:szCs w:val="20"/>
          <w:bdr w:val="none" w:sz="0" w:space="0" w:color="auto" w:frame="1"/>
          <w:lang w:val="en-GB"/>
        </w:rPr>
        <w:t xml:space="preserve">There was a total of 60 reports on AMR outbreaks </w:t>
      </w:r>
      <w:r w:rsidRPr="00A85C84">
        <w:rPr>
          <w:rFonts w:ascii="Georgia" w:hAnsi="Georgia" w:cs="Times New Roman"/>
          <w:sz w:val="20"/>
          <w:szCs w:val="20"/>
        </w:rPr>
        <w:t xml:space="preserve">between August 2016 and March 2020.  We detected AMR outbreak reports from 14 countries and regions. The distribution of reporting is shown in figure 1. The most frequently reporting country was the United States of America, with a total of 33 reports. The most common reported pathogen was MRSA, followed by drug-resistant Salmonella which includes </w:t>
      </w:r>
      <w:r w:rsidRPr="002044DC">
        <w:rPr>
          <w:rFonts w:ascii="Georgia" w:hAnsi="Georgia" w:cs="Times New Roman"/>
          <w:i/>
          <w:iCs/>
          <w:sz w:val="20"/>
          <w:szCs w:val="20"/>
        </w:rPr>
        <w:t xml:space="preserve">Salmonella </w:t>
      </w:r>
      <w:r w:rsidR="002044DC" w:rsidRPr="002044DC">
        <w:rPr>
          <w:rFonts w:ascii="Georgia" w:hAnsi="Georgia" w:cs="Times New Roman"/>
          <w:i/>
          <w:iCs/>
          <w:sz w:val="20"/>
          <w:szCs w:val="20"/>
        </w:rPr>
        <w:t>t</w:t>
      </w:r>
      <w:r w:rsidRPr="002044DC">
        <w:rPr>
          <w:rFonts w:ascii="Georgia" w:hAnsi="Georgia" w:cs="Times New Roman"/>
          <w:i/>
          <w:iCs/>
          <w:sz w:val="20"/>
          <w:szCs w:val="20"/>
        </w:rPr>
        <w:t xml:space="preserve">yphi </w:t>
      </w:r>
      <w:r w:rsidRPr="00A85C84">
        <w:rPr>
          <w:rFonts w:ascii="Georgia" w:hAnsi="Georgia" w:cs="Times New Roman"/>
          <w:sz w:val="20"/>
          <w:szCs w:val="20"/>
        </w:rPr>
        <w:t>and non-Typhi Salmonella serovars.</w:t>
      </w:r>
    </w:p>
    <w:p w14:paraId="40CE5BFE" w14:textId="77777777" w:rsidR="002044DC" w:rsidRPr="00A85C84" w:rsidRDefault="002044DC" w:rsidP="002044DC">
      <w:pPr>
        <w:spacing w:after="0" w:line="240" w:lineRule="auto"/>
        <w:ind w:firstLine="284"/>
        <w:jc w:val="both"/>
        <w:rPr>
          <w:rFonts w:ascii="Georgia" w:hAnsi="Georgia"/>
          <w:b/>
          <w:bCs/>
          <w:sz w:val="20"/>
          <w:szCs w:val="20"/>
        </w:rPr>
      </w:pPr>
      <w:r w:rsidRPr="00A85C84">
        <w:rPr>
          <w:rFonts w:ascii="Georgia" w:hAnsi="Georgia" w:cs="Times New Roman"/>
          <w:sz w:val="20"/>
          <w:szCs w:val="20"/>
        </w:rPr>
        <w:t xml:space="preserve">There were 18,275 cases of AMR infection reported in the four-year period and is represented in the graph below (Figure 2). Among the 18,274 AMR cases, 64.8% (11,851) of the AMR infections were caused by drug-resistant Salmonella Typhi, 27.6 % (5,060) by MRSA, 2.1% (384) by Non-typhoid Salmonella and 2.2% (412) by the drug-resistant fungus Candida Auris. The rest of the pathogens together constituted less than 3.5% of the total infections. Further, 12,767 (69.8%) of these infections were caused by gram-negative bacilli, 5,071 </w:t>
      </w:r>
      <w:r w:rsidRPr="00A85C84">
        <w:rPr>
          <w:rFonts w:ascii="Georgia" w:hAnsi="Georgia" w:cs="Times New Roman"/>
          <w:sz w:val="20"/>
          <w:szCs w:val="20"/>
        </w:rPr>
        <w:lastRenderedPageBreak/>
        <w:t xml:space="preserve">(27.7%) by gram-positive cocci and six (0.03%) by gram-negative cocci.  </w:t>
      </w:r>
    </w:p>
    <w:p w14:paraId="05EE41A3" w14:textId="40174E45" w:rsidR="002044DC" w:rsidRDefault="00A85C84" w:rsidP="002044DC">
      <w:pPr>
        <w:spacing w:after="0" w:line="240" w:lineRule="auto"/>
        <w:jc w:val="both"/>
        <w:rPr>
          <w:rFonts w:ascii="Georgia" w:hAnsi="Georgia" w:cs="Times New Roman"/>
          <w:color w:val="000000"/>
          <w:sz w:val="20"/>
          <w:szCs w:val="20"/>
          <w:shd w:val="clear" w:color="auto" w:fill="FFFFFF"/>
        </w:rPr>
      </w:pPr>
      <w:r w:rsidRPr="00A85C84">
        <w:rPr>
          <w:rFonts w:ascii="Georgia" w:hAnsi="Georgia" w:cs="Times New Roman"/>
          <w:sz w:val="20"/>
          <w:szCs w:val="20"/>
        </w:rPr>
        <w:t xml:space="preserve"> </w:t>
      </w:r>
      <w:r w:rsidR="002044DC">
        <w:rPr>
          <w:rFonts w:ascii="Georgia" w:hAnsi="Georgia" w:cs="Times New Roman"/>
          <w:color w:val="000000"/>
          <w:sz w:val="20"/>
          <w:szCs w:val="20"/>
          <w:shd w:val="clear" w:color="auto" w:fill="FFFFFF"/>
        </w:rPr>
        <w:t xml:space="preserve">    </w:t>
      </w:r>
      <w:r w:rsidR="002044DC" w:rsidRPr="00A85C84">
        <w:rPr>
          <w:rFonts w:ascii="Georgia" w:hAnsi="Georgia" w:cs="Times New Roman"/>
          <w:color w:val="000000"/>
          <w:sz w:val="20"/>
          <w:szCs w:val="20"/>
          <w:shd w:val="clear" w:color="auto" w:fill="FFFFFF"/>
        </w:rPr>
        <w:t>Among the gram-positive cocci, all VRE infections were acquired in hospitals. Unlike VRE, MRSA presented in communities and hospitals. There were 18 reports on MRSA from USA, and England constituted 60 cases. Most of the MRSA infections affected children and young people. In 13 reports, the MRSA outbreaks surfaced from schools and universities. Primarily contact sports participants like wrestlers and footballers were at risk. The rest of the cases were outbreaks in hospital wards. Additionally, the majority of hospital-acquired MRSA infections were in neonatal units.</w:t>
      </w:r>
    </w:p>
    <w:p w14:paraId="6B143FFB" w14:textId="50F77383" w:rsidR="002044DC" w:rsidRPr="000A7CFB" w:rsidRDefault="002044DC" w:rsidP="002044DC">
      <w:pPr>
        <w:spacing w:after="0" w:line="240" w:lineRule="auto"/>
        <w:jc w:val="both"/>
        <w:rPr>
          <w:rFonts w:ascii="Georgia" w:hAnsi="Georgia" w:cs="Times New Roman"/>
          <w:color w:val="000000"/>
          <w:sz w:val="20"/>
          <w:szCs w:val="20"/>
          <w:shd w:val="clear" w:color="auto" w:fill="FFFFFF"/>
        </w:rPr>
      </w:pPr>
      <w:r>
        <w:rPr>
          <w:rFonts w:ascii="Georgia" w:hAnsi="Georgia" w:cs="Times New Roman"/>
          <w:color w:val="000000"/>
          <w:sz w:val="20"/>
          <w:szCs w:val="20"/>
          <w:shd w:val="clear" w:color="auto" w:fill="FFFFFF"/>
        </w:rPr>
        <w:t xml:space="preserve">    </w:t>
      </w:r>
      <w:r w:rsidRPr="00A85C84">
        <w:rPr>
          <w:rFonts w:ascii="Georgia" w:hAnsi="Georgia" w:cs="Times New Roman"/>
          <w:color w:val="000000"/>
          <w:sz w:val="20"/>
          <w:szCs w:val="20"/>
          <w:shd w:val="clear" w:color="auto" w:fill="FFFFFF"/>
        </w:rPr>
        <w:t>Of gram-negative bacilli, the majority (92.8%) of infections were due to Salmonella Typhi, 3.71% by non-Typhi-Salmonella and 1.4% by DR Shigella. Around 4%</w:t>
      </w:r>
      <w:r w:rsidR="000A7CFB">
        <w:rPr>
          <w:rFonts w:ascii="Georgia" w:hAnsi="Georgia" w:cs="Times New Roman"/>
          <w:color w:val="000000"/>
          <w:sz w:val="20"/>
          <w:szCs w:val="20"/>
          <w:shd w:val="clear" w:color="auto" w:fill="FFFFFF"/>
        </w:rPr>
        <w:t xml:space="preserve"> </w:t>
      </w:r>
      <w:r w:rsidRPr="00A85C84">
        <w:rPr>
          <w:rFonts w:ascii="Georgia" w:hAnsi="Georgia" w:cs="Times New Roman"/>
          <w:color w:val="000000"/>
          <w:sz w:val="20"/>
          <w:szCs w:val="20"/>
          <w:shd w:val="clear" w:color="auto" w:fill="FFFFFF"/>
        </w:rPr>
        <w:t xml:space="preserve">of the gram-negative infections (DR Campylobacter &amp; MDR Salmonella) were zoonotic, linked to the consumption of poultry products or contact with livestock. There were repeated and considerable </w:t>
      </w:r>
      <w:r w:rsidRPr="00A85C84">
        <w:rPr>
          <w:rFonts w:ascii="Georgia" w:hAnsi="Georgia" w:cs="Times New Roman"/>
          <w:color w:val="000000"/>
          <w:sz w:val="20"/>
          <w:szCs w:val="20"/>
          <w:shd w:val="clear" w:color="auto" w:fill="FFFFFF"/>
        </w:rPr>
        <w:t>outbreak</w:t>
      </w:r>
      <w:r>
        <w:rPr>
          <w:rFonts w:ascii="Georgia" w:hAnsi="Georgia" w:cs="Times New Roman"/>
          <w:color w:val="000000"/>
          <w:sz w:val="20"/>
          <w:szCs w:val="20"/>
          <w:shd w:val="clear" w:color="auto" w:fill="FFFFFF"/>
        </w:rPr>
        <w:t>s</w:t>
      </w:r>
      <w:r w:rsidRPr="00A85C84">
        <w:rPr>
          <w:rFonts w:ascii="Georgia" w:hAnsi="Georgia" w:cs="Times New Roman"/>
          <w:color w:val="000000"/>
          <w:sz w:val="20"/>
          <w:szCs w:val="20"/>
          <w:shd w:val="clear" w:color="auto" w:fill="FFFFFF"/>
        </w:rPr>
        <w:t xml:space="preserve"> of drug-resistant non-typhoidal Salmonella serovar surfacing from the USA and 31.2 % of these reported cases of non-typhoid Salmonella required hospitalisation. </w:t>
      </w:r>
    </w:p>
    <w:p w14:paraId="0C7D94B5" w14:textId="77777777" w:rsidR="000A7CFB" w:rsidRPr="00A85C84" w:rsidRDefault="002044DC" w:rsidP="000A7CFB">
      <w:pPr>
        <w:spacing w:after="0" w:line="240" w:lineRule="auto"/>
        <w:jc w:val="both"/>
        <w:rPr>
          <w:rFonts w:ascii="Georgia" w:hAnsi="Georgia" w:cs="Times New Roman"/>
          <w:color w:val="000000"/>
          <w:sz w:val="20"/>
          <w:szCs w:val="20"/>
          <w:shd w:val="clear" w:color="auto" w:fill="FFFFFF"/>
        </w:rPr>
      </w:pPr>
      <w:r>
        <w:rPr>
          <w:rFonts w:ascii="Georgia" w:hAnsi="Georgia" w:cs="Times New Roman"/>
          <w:color w:val="000000"/>
          <w:sz w:val="20"/>
          <w:szCs w:val="20"/>
          <w:shd w:val="clear" w:color="auto" w:fill="FFFFFF"/>
        </w:rPr>
        <w:t xml:space="preserve">    </w:t>
      </w:r>
      <w:r w:rsidRPr="00A85C84">
        <w:rPr>
          <w:rFonts w:ascii="Georgia" w:hAnsi="Georgia" w:cs="Times New Roman"/>
          <w:color w:val="000000"/>
          <w:sz w:val="20"/>
          <w:szCs w:val="20"/>
          <w:shd w:val="clear" w:color="auto" w:fill="FFFFFF"/>
        </w:rPr>
        <w:t xml:space="preserve">All cases of (NDM-1) Carbapenemase-producing Enterobacteriaceae, DR Acinetobacter and DR Klebsiella were acquired in the hospitals. NDM-1 colonised the medically compromised patients and had a case fatality rate of 40%. All the documented cases of DR Klebsiella were linked with frequent outbreaks in neonatal wards. </w:t>
      </w:r>
      <w:r w:rsidR="000A7CFB" w:rsidRPr="00A85C84">
        <w:rPr>
          <w:rFonts w:ascii="Georgia" w:hAnsi="Georgia" w:cs="Times New Roman"/>
          <w:color w:val="000000"/>
          <w:sz w:val="20"/>
          <w:szCs w:val="20"/>
          <w:shd w:val="clear" w:color="auto" w:fill="FFFFFF"/>
        </w:rPr>
        <w:t>Carbapenem-resistant Klebsiella proved lethal for 47.6 % of the infant patients in South Africa and in Kenya the mortality rate was 48% in the neonatal unit. DR Acinetobacter infections reported from Japan (</w:t>
      </w:r>
      <w:proofErr w:type="gramStart"/>
      <w:r w:rsidR="000A7CFB" w:rsidRPr="00A85C84">
        <w:rPr>
          <w:rFonts w:ascii="Georgia" w:hAnsi="Georgia" w:cs="Times New Roman"/>
          <w:color w:val="000000"/>
          <w:sz w:val="20"/>
          <w:szCs w:val="20"/>
          <w:shd w:val="clear" w:color="auto" w:fill="FFFFFF"/>
        </w:rPr>
        <w:t>58-97 year old</w:t>
      </w:r>
      <w:proofErr w:type="gramEnd"/>
      <w:r w:rsidR="000A7CFB" w:rsidRPr="00A85C84">
        <w:rPr>
          <w:rFonts w:ascii="Georgia" w:hAnsi="Georgia" w:cs="Times New Roman"/>
          <w:color w:val="000000"/>
          <w:sz w:val="20"/>
          <w:szCs w:val="20"/>
          <w:shd w:val="clear" w:color="auto" w:fill="FFFFFF"/>
        </w:rPr>
        <w:t xml:space="preserve"> patients), Mexico and Belgium were all hospital-acquired. But the case fatality rate varied across regions. In Japan, it was a staggering 94.7%, in contrast to 30.7 % in Mexico and 33% in Belgium. No HAIs were </w:t>
      </w:r>
      <w:proofErr w:type="gramStart"/>
      <w:r w:rsidR="000A7CFB" w:rsidRPr="00A85C84">
        <w:rPr>
          <w:rFonts w:ascii="Georgia" w:hAnsi="Georgia" w:cs="Times New Roman"/>
          <w:color w:val="000000"/>
          <w:sz w:val="20"/>
          <w:szCs w:val="20"/>
          <w:shd w:val="clear" w:color="auto" w:fill="FFFFFF"/>
        </w:rPr>
        <w:t>generated</w:t>
      </w:r>
      <w:proofErr w:type="gramEnd"/>
      <w:r w:rsidR="000A7CFB" w:rsidRPr="00A85C84">
        <w:rPr>
          <w:rFonts w:ascii="Georgia" w:hAnsi="Georgia" w:cs="Times New Roman"/>
          <w:color w:val="000000"/>
          <w:sz w:val="20"/>
          <w:szCs w:val="20"/>
          <w:shd w:val="clear" w:color="auto" w:fill="FFFFFF"/>
        </w:rPr>
        <w:t xml:space="preserve"> or fatalities reported from infections caused by gram negative cocci.</w:t>
      </w:r>
    </w:p>
    <w:p w14:paraId="02E7718E" w14:textId="48BE9B93" w:rsidR="002044DC" w:rsidRDefault="002044DC" w:rsidP="002044DC">
      <w:pPr>
        <w:spacing w:after="0" w:line="240" w:lineRule="auto"/>
        <w:jc w:val="both"/>
        <w:rPr>
          <w:rFonts w:ascii="Georgia" w:hAnsi="Georgia" w:cs="Times New Roman"/>
          <w:color w:val="000000"/>
          <w:sz w:val="20"/>
          <w:szCs w:val="20"/>
          <w:shd w:val="clear" w:color="auto" w:fill="FFFFFF"/>
        </w:rPr>
        <w:sectPr w:rsidR="002044DC" w:rsidSect="00A85C84">
          <w:type w:val="continuous"/>
          <w:pgSz w:w="11906" w:h="16838"/>
          <w:pgMar w:top="1418" w:right="849" w:bottom="1560" w:left="851" w:header="426" w:footer="708" w:gutter="0"/>
          <w:cols w:num="2" w:space="284"/>
          <w:docGrid w:linePitch="360"/>
        </w:sectPr>
      </w:pPr>
    </w:p>
    <w:p w14:paraId="30729E6C" w14:textId="77777777" w:rsidR="002044DC" w:rsidRDefault="002044DC" w:rsidP="002044DC">
      <w:pPr>
        <w:spacing w:after="0" w:line="240" w:lineRule="auto"/>
        <w:rPr>
          <w:rFonts w:ascii="Georgia" w:hAnsi="Georgia" w:cs="Times New Roman"/>
          <w:b/>
          <w:bCs/>
          <w:sz w:val="20"/>
          <w:szCs w:val="20"/>
        </w:rPr>
      </w:pPr>
    </w:p>
    <w:p w14:paraId="4AF2A77A" w14:textId="77777777" w:rsidR="002044DC" w:rsidRDefault="002044DC" w:rsidP="00A85C84">
      <w:pPr>
        <w:spacing w:after="0" w:line="240" w:lineRule="auto"/>
        <w:jc w:val="center"/>
        <w:rPr>
          <w:rFonts w:ascii="Georgia" w:hAnsi="Georgia" w:cs="Times New Roman"/>
          <w:b/>
          <w:bCs/>
          <w:sz w:val="20"/>
          <w:szCs w:val="20"/>
        </w:rPr>
      </w:pPr>
    </w:p>
    <w:p w14:paraId="5F096829" w14:textId="383456CC" w:rsidR="00A85C84" w:rsidRPr="00A85C84" w:rsidRDefault="00A85C84" w:rsidP="00A85C84">
      <w:pPr>
        <w:spacing w:after="0" w:line="240" w:lineRule="auto"/>
        <w:jc w:val="center"/>
        <w:rPr>
          <w:rFonts w:ascii="Georgia" w:hAnsi="Georgia" w:cs="Times New Roman"/>
          <w:sz w:val="24"/>
          <w:szCs w:val="24"/>
        </w:rPr>
      </w:pPr>
      <w:r w:rsidRPr="00A85C84">
        <w:rPr>
          <w:rFonts w:ascii="Georgia" w:hAnsi="Georgia" w:cs="Times New Roman"/>
          <w:b/>
          <w:bCs/>
          <w:sz w:val="20"/>
          <w:szCs w:val="20"/>
        </w:rPr>
        <w:t>Figure 1.</w:t>
      </w:r>
      <w:r w:rsidRPr="00A85C84">
        <w:rPr>
          <w:rFonts w:ascii="Georgia" w:hAnsi="Georgia" w:cs="Times New Roman"/>
          <w:sz w:val="20"/>
          <w:szCs w:val="20"/>
        </w:rPr>
        <w:t xml:space="preserve"> </w:t>
      </w:r>
      <w:r w:rsidRPr="00A85C84">
        <w:rPr>
          <w:rFonts w:ascii="Georgia" w:hAnsi="Georgia" w:cs="Times New Roman"/>
          <w:color w:val="000000"/>
          <w:sz w:val="20"/>
          <w:szCs w:val="20"/>
          <w:shd w:val="clear" w:color="auto" w:fill="FFFFFF"/>
        </w:rPr>
        <w:t>Number of reports by distribution of pathogens in reporting countries and regions.</w:t>
      </w:r>
    </w:p>
    <w:p w14:paraId="7A1F6234" w14:textId="06EDDA38" w:rsidR="00A85C84" w:rsidRPr="00A85C84" w:rsidRDefault="00A85C84" w:rsidP="00A85C84">
      <w:pPr>
        <w:spacing w:after="0" w:line="240" w:lineRule="auto"/>
        <w:jc w:val="center"/>
        <w:rPr>
          <w:rFonts w:ascii="Georgia" w:hAnsi="Georgia" w:cs="Times New Roman"/>
          <w:sz w:val="20"/>
          <w:szCs w:val="20"/>
        </w:rPr>
      </w:pPr>
    </w:p>
    <w:p w14:paraId="6E83CBB3" w14:textId="41FB696A" w:rsidR="00A85C84" w:rsidRDefault="00A85C84" w:rsidP="00A85C84">
      <w:pPr>
        <w:spacing w:after="0" w:line="240" w:lineRule="auto"/>
        <w:jc w:val="center"/>
        <w:rPr>
          <w:rFonts w:ascii="Georgia" w:hAnsi="Georgia" w:cs="Times New Roman"/>
          <w:sz w:val="20"/>
          <w:szCs w:val="20"/>
        </w:rPr>
      </w:pPr>
      <w:r>
        <w:rPr>
          <w:noProof/>
          <w:lang w:val="en-US"/>
        </w:rPr>
        <w:drawing>
          <wp:inline distT="0" distB="0" distL="0" distR="0" wp14:anchorId="1699C477" wp14:editId="6B6BE501">
            <wp:extent cx="6290310" cy="5034709"/>
            <wp:effectExtent l="0" t="0" r="8890" b="7620"/>
            <wp:docPr id="6" name="Chart 6">
              <a:extLst xmlns:a="http://schemas.openxmlformats.org/drawingml/2006/main">
                <a:ext uri="{FF2B5EF4-FFF2-40B4-BE49-F238E27FC236}">
                  <a16:creationId xmlns:a16="http://schemas.microsoft.com/office/drawing/2014/main" id="{AE7B32B0-E2D4-4722-86AF-F5831F26BC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07CE9D" w14:textId="778E4555" w:rsidR="002044DC" w:rsidRDefault="002044DC" w:rsidP="00A85C84">
      <w:pPr>
        <w:spacing w:after="0" w:line="240" w:lineRule="auto"/>
        <w:jc w:val="center"/>
        <w:rPr>
          <w:rFonts w:ascii="Georgia" w:hAnsi="Georgia" w:cs="Times New Roman"/>
          <w:sz w:val="20"/>
          <w:szCs w:val="20"/>
        </w:rPr>
      </w:pPr>
    </w:p>
    <w:p w14:paraId="3B10B8CE" w14:textId="77777777" w:rsidR="000A7CFB" w:rsidRDefault="000A7CFB" w:rsidP="002044DC">
      <w:pPr>
        <w:spacing w:after="0" w:line="240" w:lineRule="auto"/>
        <w:jc w:val="center"/>
        <w:rPr>
          <w:rFonts w:ascii="Georgia" w:hAnsi="Georgia" w:cs="Times New Roman"/>
          <w:b/>
          <w:bCs/>
          <w:sz w:val="20"/>
          <w:szCs w:val="20"/>
        </w:rPr>
      </w:pPr>
    </w:p>
    <w:p w14:paraId="2736D7B9" w14:textId="30F8AC09" w:rsidR="002044DC" w:rsidRDefault="002044DC" w:rsidP="002044DC">
      <w:pPr>
        <w:spacing w:after="0" w:line="240" w:lineRule="auto"/>
        <w:jc w:val="center"/>
        <w:rPr>
          <w:rFonts w:ascii="Georgia" w:hAnsi="Georgia"/>
          <w:sz w:val="20"/>
          <w:szCs w:val="20"/>
        </w:rPr>
      </w:pPr>
      <w:r w:rsidRPr="00A85C84">
        <w:rPr>
          <w:rFonts w:ascii="Georgia" w:hAnsi="Georgia" w:cs="Times New Roman"/>
          <w:b/>
          <w:bCs/>
          <w:sz w:val="20"/>
          <w:szCs w:val="20"/>
        </w:rPr>
        <w:lastRenderedPageBreak/>
        <w:t xml:space="preserve">Figure 2. </w:t>
      </w:r>
      <w:r w:rsidRPr="00A85C84">
        <w:rPr>
          <w:rFonts w:ascii="Georgia" w:hAnsi="Georgia"/>
          <w:sz w:val="20"/>
          <w:szCs w:val="20"/>
        </w:rPr>
        <w:t>Number of cases by pathogens and reporting countries.</w:t>
      </w:r>
    </w:p>
    <w:p w14:paraId="4EECAB23" w14:textId="77777777" w:rsidR="00A03443" w:rsidRDefault="00A03443" w:rsidP="002044DC">
      <w:pPr>
        <w:spacing w:after="0" w:line="240" w:lineRule="auto"/>
        <w:jc w:val="center"/>
        <w:rPr>
          <w:rFonts w:ascii="Georgia" w:hAnsi="Georgia"/>
          <w:sz w:val="20"/>
          <w:szCs w:val="20"/>
        </w:rPr>
      </w:pPr>
    </w:p>
    <w:p w14:paraId="7DFEA4FA" w14:textId="77777777" w:rsidR="002044DC" w:rsidRPr="00A85C84" w:rsidRDefault="002044DC" w:rsidP="002044DC">
      <w:pPr>
        <w:spacing w:after="0" w:line="240" w:lineRule="auto"/>
        <w:jc w:val="center"/>
        <w:rPr>
          <w:rFonts w:ascii="Georgia" w:hAnsi="Georgia"/>
          <w:sz w:val="20"/>
          <w:szCs w:val="20"/>
        </w:rPr>
      </w:pPr>
    </w:p>
    <w:p w14:paraId="2D0C03AE" w14:textId="77777777" w:rsidR="002044DC" w:rsidRPr="00A85C84" w:rsidRDefault="002044DC" w:rsidP="002044DC">
      <w:pPr>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01737628" wp14:editId="7EBB9431">
            <wp:extent cx="6210554" cy="6235547"/>
            <wp:effectExtent l="0" t="0" r="0" b="635"/>
            <wp:docPr id="15" name="Picture 15"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figure2.jpg"/>
                    <pic:cNvPicPr/>
                  </pic:nvPicPr>
                  <pic:blipFill>
                    <a:blip r:embed="rId10">
                      <a:extLst>
                        <a:ext uri="{28A0092B-C50C-407E-A947-70E740481C1C}">
                          <a14:useLocalDpi xmlns:a14="http://schemas.microsoft.com/office/drawing/2010/main" val="0"/>
                        </a:ext>
                      </a:extLst>
                    </a:blip>
                    <a:stretch>
                      <a:fillRect/>
                    </a:stretch>
                  </pic:blipFill>
                  <pic:spPr>
                    <a:xfrm>
                      <a:off x="0" y="0"/>
                      <a:ext cx="6308604" cy="6333992"/>
                    </a:xfrm>
                    <a:prstGeom prst="rect">
                      <a:avLst/>
                    </a:prstGeom>
                  </pic:spPr>
                </pic:pic>
              </a:graphicData>
            </a:graphic>
          </wp:inline>
        </w:drawing>
      </w:r>
    </w:p>
    <w:p w14:paraId="40F6039A" w14:textId="77777777" w:rsidR="002044DC" w:rsidRPr="00135CDB" w:rsidRDefault="002044DC" w:rsidP="002044DC">
      <w:pPr>
        <w:spacing w:after="0" w:line="240" w:lineRule="auto"/>
        <w:jc w:val="both"/>
        <w:rPr>
          <w:rFonts w:ascii="Georgia" w:eastAsia="Times New Roman Uni" w:hAnsi="Georgia" w:cs="Times New Roman"/>
          <w:bCs/>
          <w:sz w:val="20"/>
          <w:szCs w:val="26"/>
        </w:rPr>
      </w:pPr>
    </w:p>
    <w:p w14:paraId="38F4F92C" w14:textId="77777777" w:rsidR="002044DC" w:rsidRDefault="002044DC" w:rsidP="002044DC">
      <w:pPr>
        <w:spacing w:after="0" w:line="240" w:lineRule="auto"/>
        <w:rPr>
          <w:rFonts w:ascii="Georgia" w:eastAsia="Times New Roman Uni" w:hAnsi="Georgia" w:cs="Times New Roman"/>
          <w:bCs/>
          <w:sz w:val="20"/>
          <w:szCs w:val="26"/>
        </w:rPr>
        <w:sectPr w:rsidR="002044DC" w:rsidSect="00A85C84">
          <w:type w:val="continuous"/>
          <w:pgSz w:w="11906" w:h="16838"/>
          <w:pgMar w:top="1418" w:right="849" w:bottom="1560" w:left="851" w:header="426" w:footer="708" w:gutter="0"/>
          <w:cols w:space="284"/>
          <w:docGrid w:linePitch="360"/>
        </w:sectPr>
      </w:pPr>
    </w:p>
    <w:p w14:paraId="2907D8BD" w14:textId="77777777" w:rsidR="002044DC" w:rsidRDefault="002044DC" w:rsidP="002044DC">
      <w:pPr>
        <w:spacing w:after="0" w:line="240" w:lineRule="auto"/>
        <w:rPr>
          <w:rFonts w:ascii="Georgia" w:eastAsia="Times New Roman Uni" w:hAnsi="Georgia" w:cs="Times New Roman"/>
          <w:bCs/>
          <w:sz w:val="20"/>
          <w:szCs w:val="26"/>
        </w:rPr>
      </w:pPr>
    </w:p>
    <w:p w14:paraId="2D1296A4" w14:textId="77777777" w:rsidR="002044DC" w:rsidRDefault="002044DC" w:rsidP="002044DC">
      <w:pPr>
        <w:spacing w:after="0" w:line="240" w:lineRule="auto"/>
        <w:rPr>
          <w:rFonts w:ascii="Georgia" w:eastAsia="Times New Roman Uni" w:hAnsi="Georgia" w:cs="Times New Roman"/>
          <w:b/>
          <w:sz w:val="20"/>
          <w:szCs w:val="26"/>
        </w:rPr>
        <w:sectPr w:rsidR="002044DC" w:rsidSect="00A85C84">
          <w:type w:val="continuous"/>
          <w:pgSz w:w="11906" w:h="16838"/>
          <w:pgMar w:top="1418" w:right="849" w:bottom="1560" w:left="851" w:header="426" w:footer="708" w:gutter="0"/>
          <w:cols w:space="284"/>
          <w:docGrid w:linePitch="360"/>
        </w:sectPr>
      </w:pPr>
    </w:p>
    <w:p w14:paraId="3D29CC19" w14:textId="77777777" w:rsidR="002044DC" w:rsidRDefault="002044DC" w:rsidP="002044DC">
      <w:pPr>
        <w:spacing w:after="0" w:line="240" w:lineRule="auto"/>
        <w:rPr>
          <w:rFonts w:ascii="Georgia" w:hAnsi="Georgia" w:cs="Times New Roman"/>
          <w:sz w:val="20"/>
          <w:szCs w:val="20"/>
        </w:rPr>
      </w:pPr>
    </w:p>
    <w:p w14:paraId="0787AF9B" w14:textId="77777777" w:rsidR="002044DC" w:rsidRPr="0096664F" w:rsidRDefault="002044DC" w:rsidP="002044DC">
      <w:pPr>
        <w:spacing w:after="0" w:line="240" w:lineRule="auto"/>
        <w:jc w:val="center"/>
        <w:rPr>
          <w:rFonts w:ascii="Georgia" w:hAnsi="Georgia" w:cs="Times New Roman"/>
          <w:i/>
          <w:iCs/>
          <w:sz w:val="20"/>
          <w:szCs w:val="20"/>
        </w:rPr>
      </w:pPr>
      <w:r w:rsidRPr="0096664F">
        <w:rPr>
          <w:rFonts w:ascii="Georgia" w:hAnsi="Georgia" w:cs="Times New Roman"/>
          <w:i/>
          <w:iCs/>
          <w:sz w:val="20"/>
          <w:szCs w:val="20"/>
        </w:rPr>
        <w:t>Note: Canada was excluded from figure 2 as the number of infections during VRE outbreak in Canada was not</w:t>
      </w:r>
    </w:p>
    <w:p w14:paraId="7B687C96" w14:textId="77777777" w:rsidR="002044DC" w:rsidRPr="0096664F" w:rsidRDefault="002044DC" w:rsidP="002044DC">
      <w:pPr>
        <w:spacing w:after="0" w:line="240" w:lineRule="auto"/>
        <w:jc w:val="center"/>
        <w:rPr>
          <w:rFonts w:ascii="Georgia" w:hAnsi="Georgia" w:cs="Times New Roman"/>
          <w:i/>
          <w:iCs/>
          <w:sz w:val="20"/>
          <w:szCs w:val="20"/>
        </w:rPr>
      </w:pPr>
      <w:r w:rsidRPr="0096664F">
        <w:rPr>
          <w:rFonts w:ascii="Georgia" w:hAnsi="Georgia" w:cs="Times New Roman"/>
          <w:i/>
          <w:iCs/>
          <w:sz w:val="20"/>
          <w:szCs w:val="20"/>
        </w:rPr>
        <w:t>reported.</w:t>
      </w:r>
    </w:p>
    <w:p w14:paraId="728077EE" w14:textId="77777777" w:rsidR="002044DC" w:rsidRDefault="002044DC" w:rsidP="002044DC">
      <w:pPr>
        <w:spacing w:after="0" w:line="240" w:lineRule="auto"/>
        <w:rPr>
          <w:rFonts w:ascii="Georgia" w:eastAsia="Times New Roman Uni" w:hAnsi="Georgia" w:cs="Times New Roman"/>
          <w:b/>
          <w:sz w:val="20"/>
          <w:szCs w:val="26"/>
        </w:rPr>
      </w:pPr>
    </w:p>
    <w:p w14:paraId="4585E5F7" w14:textId="77777777" w:rsidR="002044DC" w:rsidRDefault="002044DC" w:rsidP="002044DC">
      <w:pPr>
        <w:spacing w:after="0" w:line="240" w:lineRule="auto"/>
        <w:rPr>
          <w:rFonts w:ascii="Georgia" w:eastAsia="Times New Roman Uni" w:hAnsi="Georgia" w:cs="Times New Roman"/>
          <w:bCs/>
          <w:sz w:val="20"/>
          <w:szCs w:val="26"/>
        </w:rPr>
      </w:pPr>
    </w:p>
    <w:p w14:paraId="3CD3FBFD" w14:textId="77777777" w:rsidR="002044DC" w:rsidRDefault="002044DC" w:rsidP="002044DC">
      <w:pPr>
        <w:spacing w:after="0" w:line="240" w:lineRule="auto"/>
        <w:rPr>
          <w:rFonts w:ascii="Georgia" w:eastAsia="Times New Roman Uni" w:hAnsi="Georgia" w:cs="Times New Roman"/>
          <w:b/>
          <w:sz w:val="20"/>
          <w:szCs w:val="26"/>
        </w:rPr>
      </w:pPr>
    </w:p>
    <w:p w14:paraId="2B76E8C9" w14:textId="77777777" w:rsidR="002044DC" w:rsidRDefault="002044DC" w:rsidP="002044DC">
      <w:pPr>
        <w:spacing w:before="240" w:line="240" w:lineRule="auto"/>
        <w:rPr>
          <w:rFonts w:ascii="Georgia" w:eastAsia="Times New Roman Uni" w:hAnsi="Georgia" w:cs="Times New Roman"/>
          <w:sz w:val="20"/>
          <w:szCs w:val="26"/>
        </w:rPr>
      </w:pPr>
    </w:p>
    <w:p w14:paraId="3E8BD95F" w14:textId="7D312298" w:rsidR="002044DC" w:rsidRDefault="002044DC" w:rsidP="002044DC">
      <w:pPr>
        <w:spacing w:before="240" w:line="240" w:lineRule="auto"/>
        <w:rPr>
          <w:rFonts w:ascii="Georgia" w:eastAsia="Times New Roman Uni" w:hAnsi="Georgia" w:cs="Times New Roman"/>
          <w:sz w:val="20"/>
          <w:szCs w:val="26"/>
        </w:rPr>
      </w:pPr>
    </w:p>
    <w:p w14:paraId="76067D64" w14:textId="77777777" w:rsidR="000A7CFB" w:rsidRDefault="000A7CFB" w:rsidP="002044DC">
      <w:pPr>
        <w:spacing w:after="0" w:line="240" w:lineRule="auto"/>
        <w:jc w:val="center"/>
        <w:rPr>
          <w:rFonts w:ascii="Georgia" w:hAnsi="Georgia" w:cs="Times New Roman"/>
          <w:b/>
          <w:bCs/>
          <w:color w:val="000000"/>
          <w:sz w:val="20"/>
          <w:szCs w:val="20"/>
          <w:shd w:val="clear" w:color="auto" w:fill="FFFFFF"/>
        </w:rPr>
      </w:pPr>
    </w:p>
    <w:p w14:paraId="161EEE5A" w14:textId="0B8E8810" w:rsidR="002044DC" w:rsidRDefault="002044DC" w:rsidP="002044DC">
      <w:pPr>
        <w:spacing w:after="0" w:line="240" w:lineRule="auto"/>
        <w:jc w:val="center"/>
        <w:rPr>
          <w:rFonts w:ascii="Georgia" w:hAnsi="Georgia" w:cs="Times New Roman"/>
          <w:color w:val="000000"/>
          <w:sz w:val="20"/>
          <w:szCs w:val="20"/>
          <w:shd w:val="clear" w:color="auto" w:fill="FFFFFF"/>
        </w:rPr>
      </w:pPr>
      <w:r w:rsidRPr="00A85C84">
        <w:rPr>
          <w:rFonts w:ascii="Georgia" w:hAnsi="Georgia" w:cs="Times New Roman"/>
          <w:b/>
          <w:bCs/>
          <w:color w:val="000000"/>
          <w:sz w:val="20"/>
          <w:szCs w:val="20"/>
          <w:shd w:val="clear" w:color="auto" w:fill="FFFFFF"/>
        </w:rPr>
        <w:lastRenderedPageBreak/>
        <w:t>Table 1.</w:t>
      </w:r>
      <w:r w:rsidRPr="00A85C84">
        <w:rPr>
          <w:rFonts w:ascii="Georgia" w:hAnsi="Georgia" w:cs="Times New Roman"/>
          <w:color w:val="000000"/>
          <w:sz w:val="20"/>
          <w:szCs w:val="20"/>
          <w:shd w:val="clear" w:color="auto" w:fill="FFFFFF"/>
        </w:rPr>
        <w:t xml:space="preserve"> Summary of the aggregated data, EpiWATCH</w:t>
      </w:r>
    </w:p>
    <w:tbl>
      <w:tblPr>
        <w:tblStyle w:val="TableGrid"/>
        <w:tblpPr w:leftFromText="180" w:rightFromText="180" w:vertAnchor="text" w:horzAnchor="margin" w:tblpXSpec="center" w:tblpY="369"/>
        <w:tblW w:w="9685" w:type="dxa"/>
        <w:tblLook w:val="04A0" w:firstRow="1" w:lastRow="0" w:firstColumn="1" w:lastColumn="0" w:noHBand="0" w:noVBand="1"/>
      </w:tblPr>
      <w:tblGrid>
        <w:gridCol w:w="1940"/>
        <w:gridCol w:w="1497"/>
        <w:gridCol w:w="1537"/>
        <w:gridCol w:w="1831"/>
        <w:gridCol w:w="1440"/>
        <w:gridCol w:w="1440"/>
      </w:tblGrid>
      <w:tr w:rsidR="002044DC" w:rsidRPr="00A85C84" w14:paraId="74DE9FF0" w14:textId="77777777" w:rsidTr="000D6C22">
        <w:trPr>
          <w:trHeight w:val="560"/>
        </w:trPr>
        <w:tc>
          <w:tcPr>
            <w:tcW w:w="1838" w:type="dxa"/>
            <w:tcBorders>
              <w:bottom w:val="single" w:sz="4" w:space="0" w:color="auto"/>
            </w:tcBorders>
          </w:tcPr>
          <w:p w14:paraId="3BAAA832" w14:textId="77777777" w:rsidR="002044DC" w:rsidRPr="002044DC" w:rsidRDefault="002044DC" w:rsidP="000D6C22">
            <w:pPr>
              <w:rPr>
                <w:rFonts w:ascii="Arial Nova" w:hAnsi="Arial Nova" w:cs="Times New Roman"/>
                <w:b/>
                <w:bCs/>
                <w:sz w:val="20"/>
                <w:szCs w:val="20"/>
              </w:rPr>
            </w:pPr>
            <w:bookmarkStart w:id="1" w:name="_Hlk37687773"/>
            <w:r w:rsidRPr="002044DC">
              <w:rPr>
                <w:rFonts w:ascii="Arial Nova" w:hAnsi="Arial Nova" w:cs="Times New Roman"/>
                <w:b/>
                <w:bCs/>
                <w:sz w:val="20"/>
                <w:szCs w:val="20"/>
              </w:rPr>
              <w:t>Pathogens</w:t>
            </w:r>
          </w:p>
        </w:tc>
        <w:tc>
          <w:tcPr>
            <w:tcW w:w="1522" w:type="dxa"/>
          </w:tcPr>
          <w:p w14:paraId="1D03542B"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Number of reports</w:t>
            </w:r>
          </w:p>
        </w:tc>
        <w:tc>
          <w:tcPr>
            <w:tcW w:w="1564" w:type="dxa"/>
          </w:tcPr>
          <w:p w14:paraId="23C0AC78"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Number of cases</w:t>
            </w:r>
          </w:p>
        </w:tc>
        <w:tc>
          <w:tcPr>
            <w:tcW w:w="1837" w:type="dxa"/>
          </w:tcPr>
          <w:p w14:paraId="31A54FEF"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 xml:space="preserve">Number of hospitalisations </w:t>
            </w:r>
          </w:p>
        </w:tc>
        <w:tc>
          <w:tcPr>
            <w:tcW w:w="1462" w:type="dxa"/>
          </w:tcPr>
          <w:p w14:paraId="2DF86396"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Number of HAIs</w:t>
            </w:r>
          </w:p>
        </w:tc>
        <w:tc>
          <w:tcPr>
            <w:tcW w:w="1462" w:type="dxa"/>
          </w:tcPr>
          <w:p w14:paraId="2D112A37"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Number of deaths</w:t>
            </w:r>
          </w:p>
          <w:p w14:paraId="068D46B7" w14:textId="77777777" w:rsidR="002044DC" w:rsidRPr="002044DC" w:rsidRDefault="002044DC" w:rsidP="000D6C22">
            <w:pPr>
              <w:rPr>
                <w:rFonts w:ascii="Arial Nova" w:hAnsi="Arial Nova" w:cs="Times New Roman"/>
                <w:b/>
                <w:bCs/>
                <w:sz w:val="20"/>
                <w:szCs w:val="20"/>
              </w:rPr>
            </w:pPr>
          </w:p>
        </w:tc>
      </w:tr>
      <w:tr w:rsidR="002044DC" w:rsidRPr="00A85C84" w14:paraId="1BE7167D" w14:textId="77777777" w:rsidTr="000D6C22">
        <w:trPr>
          <w:trHeight w:val="1390"/>
        </w:trPr>
        <w:tc>
          <w:tcPr>
            <w:tcW w:w="1838" w:type="dxa"/>
            <w:tcBorders>
              <w:top w:val="nil"/>
            </w:tcBorders>
          </w:tcPr>
          <w:p w14:paraId="1BAAA2A4" w14:textId="77777777" w:rsidR="002044DC" w:rsidRPr="002044DC" w:rsidRDefault="002044DC" w:rsidP="000D6C22">
            <w:pPr>
              <w:rPr>
                <w:rFonts w:ascii="Arial Nova" w:hAnsi="Arial Nova" w:cs="Times New Roman"/>
                <w:i/>
                <w:iCs/>
                <w:sz w:val="20"/>
                <w:szCs w:val="20"/>
              </w:rPr>
            </w:pPr>
            <w:r w:rsidRPr="002044DC">
              <w:rPr>
                <w:rFonts w:ascii="Arial Nova" w:eastAsia="Times New Roman" w:hAnsi="Arial Nova" w:cs="Times New Roman"/>
                <w:b/>
                <w:bCs/>
                <w:i/>
                <w:iCs/>
                <w:color w:val="000000"/>
                <w:sz w:val="20"/>
                <w:szCs w:val="20"/>
                <w:lang w:eastAsia="en-IN"/>
              </w:rPr>
              <w:t>Gram +ve cocci</w:t>
            </w:r>
          </w:p>
          <w:p w14:paraId="7C2E2925" w14:textId="77777777" w:rsidR="002044DC" w:rsidRPr="002044DC" w:rsidRDefault="002044DC" w:rsidP="000D6C22">
            <w:pPr>
              <w:rPr>
                <w:rFonts w:ascii="Arial Nova" w:hAnsi="Arial Nova" w:cs="Times New Roman"/>
                <w:sz w:val="20"/>
                <w:szCs w:val="20"/>
              </w:rPr>
            </w:pPr>
          </w:p>
          <w:p w14:paraId="11ED59CB"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MRSA</w:t>
            </w:r>
          </w:p>
          <w:p w14:paraId="599A8335" w14:textId="77777777" w:rsidR="002044DC" w:rsidRPr="002044DC" w:rsidRDefault="002044DC" w:rsidP="000D6C22">
            <w:pPr>
              <w:rPr>
                <w:rFonts w:ascii="Arial Nova" w:hAnsi="Arial Nova" w:cs="Times New Roman"/>
                <w:sz w:val="20"/>
                <w:szCs w:val="20"/>
              </w:rPr>
            </w:pPr>
          </w:p>
          <w:p w14:paraId="17A86684" w14:textId="77777777" w:rsidR="002044DC" w:rsidRPr="002044DC" w:rsidRDefault="002044DC" w:rsidP="000D6C22">
            <w:pPr>
              <w:rPr>
                <w:rFonts w:ascii="Arial Nova" w:hAnsi="Arial Nova" w:cs="Times New Roman"/>
                <w:i/>
                <w:iCs/>
                <w:sz w:val="20"/>
                <w:szCs w:val="20"/>
              </w:rPr>
            </w:pPr>
            <w:r w:rsidRPr="002044DC">
              <w:rPr>
                <w:rFonts w:ascii="Arial Nova" w:hAnsi="Arial Nova" w:cs="Times New Roman"/>
                <w:sz w:val="20"/>
                <w:szCs w:val="20"/>
              </w:rPr>
              <w:t>VRE</w:t>
            </w:r>
          </w:p>
        </w:tc>
        <w:tc>
          <w:tcPr>
            <w:tcW w:w="1522" w:type="dxa"/>
            <w:tcBorders>
              <w:top w:val="nil"/>
            </w:tcBorders>
          </w:tcPr>
          <w:p w14:paraId="32719CC3"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22</w:t>
            </w:r>
          </w:p>
          <w:p w14:paraId="4B97B144" w14:textId="77777777" w:rsidR="002044DC" w:rsidRPr="002044DC" w:rsidRDefault="002044DC" w:rsidP="000D6C22">
            <w:pPr>
              <w:rPr>
                <w:rFonts w:ascii="Arial Nova" w:hAnsi="Arial Nova" w:cs="Times New Roman"/>
                <w:sz w:val="20"/>
                <w:szCs w:val="20"/>
              </w:rPr>
            </w:pPr>
          </w:p>
          <w:p w14:paraId="15786209"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19</w:t>
            </w:r>
          </w:p>
          <w:p w14:paraId="4655AF10" w14:textId="77777777" w:rsidR="002044DC" w:rsidRPr="002044DC" w:rsidRDefault="002044DC" w:rsidP="000D6C22">
            <w:pPr>
              <w:rPr>
                <w:rFonts w:ascii="Arial Nova" w:hAnsi="Arial Nova" w:cs="Times New Roman"/>
                <w:sz w:val="20"/>
                <w:szCs w:val="20"/>
              </w:rPr>
            </w:pPr>
          </w:p>
          <w:p w14:paraId="6029D0B4"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sz w:val="20"/>
                <w:szCs w:val="20"/>
              </w:rPr>
              <w:t>3</w:t>
            </w:r>
          </w:p>
        </w:tc>
        <w:tc>
          <w:tcPr>
            <w:tcW w:w="1564" w:type="dxa"/>
          </w:tcPr>
          <w:p w14:paraId="3F3865B4" w14:textId="77777777" w:rsidR="002044DC" w:rsidRPr="002044DC" w:rsidRDefault="002044DC" w:rsidP="000D6C22">
            <w:pPr>
              <w:rPr>
                <w:rFonts w:ascii="Arial Nova" w:hAnsi="Arial Nova" w:cs="Times New Roman"/>
                <w:b/>
                <w:bCs/>
                <w:sz w:val="20"/>
                <w:szCs w:val="20"/>
              </w:rPr>
            </w:pPr>
            <w:r w:rsidRPr="002044DC">
              <w:rPr>
                <w:rFonts w:ascii="Arial Nova" w:eastAsia="Times New Roman" w:hAnsi="Arial Nova" w:cs="Times New Roman"/>
                <w:b/>
                <w:bCs/>
                <w:color w:val="000000"/>
                <w:sz w:val="20"/>
                <w:szCs w:val="20"/>
                <w:lang w:eastAsia="en-IN"/>
              </w:rPr>
              <w:t>5,071</w:t>
            </w:r>
          </w:p>
          <w:p w14:paraId="71A27BD6" w14:textId="77777777" w:rsidR="002044DC" w:rsidRPr="002044DC" w:rsidRDefault="002044DC" w:rsidP="000D6C22">
            <w:pPr>
              <w:rPr>
                <w:rFonts w:ascii="Arial Nova" w:eastAsia="Times New Roman" w:hAnsi="Arial Nova" w:cs="Times New Roman"/>
                <w:color w:val="000000"/>
                <w:sz w:val="20"/>
                <w:szCs w:val="20"/>
                <w:lang w:eastAsia="en-IN"/>
              </w:rPr>
            </w:pPr>
          </w:p>
          <w:p w14:paraId="0175AB98"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5,060</w:t>
            </w:r>
          </w:p>
          <w:p w14:paraId="1A449A99" w14:textId="77777777" w:rsidR="002044DC" w:rsidRPr="002044DC" w:rsidRDefault="002044DC" w:rsidP="000D6C22">
            <w:pPr>
              <w:rPr>
                <w:rFonts w:ascii="Arial Nova" w:hAnsi="Arial Nova" w:cs="Times New Roman"/>
                <w:sz w:val="20"/>
                <w:szCs w:val="20"/>
              </w:rPr>
            </w:pPr>
          </w:p>
          <w:p w14:paraId="54EB91C9"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sz w:val="20"/>
                <w:szCs w:val="20"/>
              </w:rPr>
              <w:t>11</w:t>
            </w:r>
          </w:p>
        </w:tc>
        <w:tc>
          <w:tcPr>
            <w:tcW w:w="1837" w:type="dxa"/>
          </w:tcPr>
          <w:p w14:paraId="6C44A5D2"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w:t>
            </w:r>
          </w:p>
          <w:p w14:paraId="209A4AB3" w14:textId="77777777" w:rsidR="002044DC" w:rsidRPr="002044DC" w:rsidRDefault="002044DC" w:rsidP="000D6C22">
            <w:pPr>
              <w:rPr>
                <w:rFonts w:ascii="Arial Nova" w:hAnsi="Arial Nova" w:cs="Times New Roman"/>
                <w:sz w:val="20"/>
                <w:szCs w:val="20"/>
              </w:rPr>
            </w:pPr>
          </w:p>
          <w:p w14:paraId="5A306D99"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0EE965BF" w14:textId="77777777" w:rsidR="002044DC" w:rsidRPr="002044DC" w:rsidRDefault="002044DC" w:rsidP="000D6C22">
            <w:pPr>
              <w:rPr>
                <w:rFonts w:ascii="Arial Nova" w:hAnsi="Arial Nova" w:cs="Times New Roman"/>
                <w:b/>
                <w:bCs/>
                <w:sz w:val="20"/>
                <w:szCs w:val="20"/>
              </w:rPr>
            </w:pPr>
          </w:p>
          <w:p w14:paraId="2AF0F7BA"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NA</w:t>
            </w:r>
          </w:p>
          <w:p w14:paraId="795C5BE8" w14:textId="77777777" w:rsidR="002044DC" w:rsidRPr="002044DC" w:rsidRDefault="002044DC" w:rsidP="000D6C22">
            <w:pPr>
              <w:rPr>
                <w:rFonts w:ascii="Arial Nova" w:hAnsi="Arial Nova" w:cs="Times New Roman"/>
                <w:b/>
                <w:bCs/>
                <w:sz w:val="20"/>
                <w:szCs w:val="20"/>
              </w:rPr>
            </w:pPr>
          </w:p>
        </w:tc>
        <w:tc>
          <w:tcPr>
            <w:tcW w:w="1462" w:type="dxa"/>
          </w:tcPr>
          <w:p w14:paraId="673EBC1B"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47</w:t>
            </w:r>
          </w:p>
          <w:p w14:paraId="6CC33624" w14:textId="77777777" w:rsidR="002044DC" w:rsidRPr="002044DC" w:rsidRDefault="002044DC" w:rsidP="000D6C22">
            <w:pPr>
              <w:rPr>
                <w:rFonts w:ascii="Arial Nova" w:hAnsi="Arial Nova" w:cs="Times New Roman"/>
                <w:sz w:val="20"/>
                <w:szCs w:val="20"/>
              </w:rPr>
            </w:pPr>
          </w:p>
          <w:p w14:paraId="1800F73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 xml:space="preserve">36 </w:t>
            </w:r>
          </w:p>
          <w:p w14:paraId="7818E7CC" w14:textId="77777777" w:rsidR="002044DC" w:rsidRPr="002044DC" w:rsidRDefault="002044DC" w:rsidP="000D6C22">
            <w:pPr>
              <w:rPr>
                <w:rFonts w:ascii="Arial Nova" w:hAnsi="Arial Nova" w:cs="Times New Roman"/>
                <w:sz w:val="20"/>
                <w:szCs w:val="20"/>
              </w:rPr>
            </w:pPr>
          </w:p>
          <w:p w14:paraId="6E816FBF"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sz w:val="20"/>
                <w:szCs w:val="20"/>
              </w:rPr>
              <w:t>11</w:t>
            </w:r>
          </w:p>
        </w:tc>
        <w:tc>
          <w:tcPr>
            <w:tcW w:w="1462" w:type="dxa"/>
          </w:tcPr>
          <w:p w14:paraId="76A8EF4A"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1</w:t>
            </w:r>
          </w:p>
          <w:p w14:paraId="49F0E24B" w14:textId="77777777" w:rsidR="002044DC" w:rsidRPr="002044DC" w:rsidRDefault="002044DC" w:rsidP="000D6C22">
            <w:pPr>
              <w:rPr>
                <w:rFonts w:ascii="Arial Nova" w:hAnsi="Arial Nova" w:cs="Times New Roman"/>
                <w:sz w:val="20"/>
                <w:szCs w:val="20"/>
              </w:rPr>
            </w:pPr>
          </w:p>
          <w:p w14:paraId="39262D3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w:t>
            </w:r>
          </w:p>
          <w:p w14:paraId="08A07165" w14:textId="77777777" w:rsidR="002044DC" w:rsidRPr="002044DC" w:rsidRDefault="002044DC" w:rsidP="000D6C22">
            <w:pPr>
              <w:rPr>
                <w:rFonts w:ascii="Arial Nova" w:hAnsi="Arial Nova" w:cs="Times New Roman"/>
                <w:sz w:val="20"/>
                <w:szCs w:val="20"/>
              </w:rPr>
            </w:pPr>
          </w:p>
          <w:p w14:paraId="0E2AD2D6"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sz w:val="20"/>
                <w:szCs w:val="20"/>
              </w:rPr>
              <w:t>0</w:t>
            </w:r>
          </w:p>
        </w:tc>
      </w:tr>
      <w:tr w:rsidR="002044DC" w:rsidRPr="00A85C84" w14:paraId="6AE0B08B" w14:textId="77777777" w:rsidTr="000D6C22">
        <w:trPr>
          <w:trHeight w:val="2904"/>
        </w:trPr>
        <w:tc>
          <w:tcPr>
            <w:tcW w:w="1838" w:type="dxa"/>
          </w:tcPr>
          <w:p w14:paraId="0B567C79" w14:textId="77777777" w:rsidR="002044DC" w:rsidRPr="002044DC" w:rsidRDefault="002044DC" w:rsidP="000D6C22">
            <w:pPr>
              <w:rPr>
                <w:rFonts w:ascii="Arial Nova" w:hAnsi="Arial Nova" w:cs="Times New Roman"/>
                <w:i/>
                <w:iCs/>
                <w:sz w:val="20"/>
                <w:szCs w:val="20"/>
              </w:rPr>
            </w:pPr>
            <w:r w:rsidRPr="002044DC">
              <w:rPr>
                <w:rFonts w:ascii="Arial Nova" w:eastAsia="Times New Roman" w:hAnsi="Arial Nova" w:cs="Times New Roman"/>
                <w:b/>
                <w:bCs/>
                <w:i/>
                <w:iCs/>
                <w:color w:val="000000"/>
                <w:sz w:val="20"/>
                <w:szCs w:val="20"/>
                <w:lang w:eastAsia="en-IN"/>
              </w:rPr>
              <w:t>Gram -ve bacilli</w:t>
            </w:r>
          </w:p>
          <w:p w14:paraId="0FF1F73D" w14:textId="77777777" w:rsidR="002044DC" w:rsidRPr="002044DC" w:rsidRDefault="002044DC" w:rsidP="000D6C22">
            <w:pPr>
              <w:rPr>
                <w:rFonts w:ascii="Arial Nova" w:hAnsi="Arial Nova" w:cs="Times New Roman"/>
                <w:sz w:val="20"/>
                <w:szCs w:val="20"/>
              </w:rPr>
            </w:pPr>
          </w:p>
          <w:p w14:paraId="50A6AB5D"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 xml:space="preserve">NDM-1 </w:t>
            </w:r>
          </w:p>
          <w:p w14:paraId="2508DE36"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Enterobacteriaceae</w:t>
            </w:r>
          </w:p>
          <w:p w14:paraId="604185C6"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DR Acinetobacter</w:t>
            </w:r>
          </w:p>
          <w:p w14:paraId="4CB5D3B2"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DR Campylobacter</w:t>
            </w:r>
          </w:p>
          <w:p w14:paraId="76873A8A"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DR Klebsiella</w:t>
            </w:r>
          </w:p>
          <w:p w14:paraId="3CDDA908"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MDR Shigella</w:t>
            </w:r>
          </w:p>
          <w:p w14:paraId="1EAA7D23"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E-coli</w:t>
            </w:r>
          </w:p>
          <w:p w14:paraId="0D8F6A68"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MDR Salmonella</w:t>
            </w:r>
          </w:p>
          <w:p w14:paraId="51F1BE38"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MDR Salmonella -typhi</w:t>
            </w:r>
          </w:p>
          <w:p w14:paraId="421B4B27"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XDR Salmonella -typhi</w:t>
            </w:r>
          </w:p>
          <w:p w14:paraId="2C1EE4B8" w14:textId="77777777" w:rsidR="002044DC" w:rsidRPr="002044DC" w:rsidRDefault="002044DC" w:rsidP="000D6C22">
            <w:pPr>
              <w:rPr>
                <w:rFonts w:ascii="Arial Nova" w:eastAsia="Times New Roman" w:hAnsi="Arial Nova" w:cs="Times New Roman"/>
                <w:color w:val="000000"/>
                <w:sz w:val="20"/>
                <w:szCs w:val="20"/>
                <w:lang w:eastAsia="en-IN"/>
              </w:rPr>
            </w:pPr>
          </w:p>
          <w:p w14:paraId="3839409C" w14:textId="77777777" w:rsidR="002044DC" w:rsidRPr="002044DC" w:rsidRDefault="002044DC" w:rsidP="000D6C22">
            <w:pPr>
              <w:rPr>
                <w:rFonts w:ascii="Arial Nova" w:hAnsi="Arial Nova" w:cs="Times New Roman"/>
                <w:i/>
                <w:iCs/>
                <w:sz w:val="20"/>
                <w:szCs w:val="20"/>
              </w:rPr>
            </w:pPr>
            <w:r w:rsidRPr="002044DC">
              <w:rPr>
                <w:rFonts w:ascii="Arial Nova" w:eastAsia="Times New Roman" w:hAnsi="Arial Nova" w:cs="Times New Roman"/>
                <w:color w:val="000000"/>
                <w:sz w:val="20"/>
                <w:szCs w:val="20"/>
                <w:lang w:eastAsia="en-IN"/>
              </w:rPr>
              <w:t>DR Meningococcus</w:t>
            </w:r>
          </w:p>
        </w:tc>
        <w:tc>
          <w:tcPr>
            <w:tcW w:w="1522" w:type="dxa"/>
          </w:tcPr>
          <w:p w14:paraId="07706B61"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27</w:t>
            </w:r>
          </w:p>
          <w:p w14:paraId="7ED41F62" w14:textId="77777777" w:rsidR="002044DC" w:rsidRPr="002044DC" w:rsidRDefault="002044DC" w:rsidP="000D6C22">
            <w:pPr>
              <w:rPr>
                <w:rFonts w:ascii="Arial Nova" w:hAnsi="Arial Nova" w:cs="Times New Roman"/>
                <w:sz w:val="20"/>
                <w:szCs w:val="20"/>
              </w:rPr>
            </w:pPr>
          </w:p>
          <w:p w14:paraId="2AC4E6D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w:t>
            </w:r>
          </w:p>
          <w:p w14:paraId="5ED7AF46" w14:textId="77777777" w:rsidR="002044DC" w:rsidRPr="002044DC" w:rsidRDefault="002044DC" w:rsidP="000D6C22">
            <w:pPr>
              <w:rPr>
                <w:rFonts w:ascii="Arial Nova" w:hAnsi="Arial Nova" w:cs="Times New Roman"/>
                <w:sz w:val="20"/>
                <w:szCs w:val="20"/>
              </w:rPr>
            </w:pPr>
          </w:p>
          <w:p w14:paraId="136BF7FC"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3</w:t>
            </w:r>
          </w:p>
          <w:p w14:paraId="30153313"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1</w:t>
            </w:r>
          </w:p>
          <w:p w14:paraId="3855200B"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3</w:t>
            </w:r>
          </w:p>
          <w:p w14:paraId="34BB0C0E"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2</w:t>
            </w:r>
          </w:p>
          <w:p w14:paraId="06CA488F"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3</w:t>
            </w:r>
          </w:p>
          <w:p w14:paraId="194E56C4"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8</w:t>
            </w:r>
          </w:p>
          <w:p w14:paraId="6D63553F"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3</w:t>
            </w:r>
          </w:p>
          <w:p w14:paraId="16CA4CFF" w14:textId="77777777" w:rsidR="002044DC" w:rsidRPr="002044DC" w:rsidRDefault="002044DC" w:rsidP="000D6C22">
            <w:pPr>
              <w:rPr>
                <w:rFonts w:ascii="Arial Nova" w:eastAsia="Times New Roman" w:hAnsi="Arial Nova" w:cs="Times New Roman"/>
                <w:color w:val="000000"/>
                <w:sz w:val="20"/>
                <w:szCs w:val="20"/>
                <w:lang w:eastAsia="en-IN"/>
              </w:rPr>
            </w:pPr>
          </w:p>
          <w:p w14:paraId="69F896E5"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2</w:t>
            </w:r>
          </w:p>
          <w:p w14:paraId="00C1BB3E" w14:textId="77777777" w:rsidR="002044DC" w:rsidRPr="002044DC" w:rsidRDefault="002044DC" w:rsidP="000D6C22">
            <w:pPr>
              <w:rPr>
                <w:rFonts w:ascii="Arial Nova" w:eastAsia="Times New Roman" w:hAnsi="Arial Nova" w:cs="Times New Roman"/>
                <w:color w:val="000000"/>
                <w:sz w:val="20"/>
                <w:szCs w:val="20"/>
                <w:lang w:eastAsia="en-IN"/>
              </w:rPr>
            </w:pPr>
          </w:p>
          <w:p w14:paraId="2338EA27" w14:textId="77777777" w:rsidR="002044DC" w:rsidRPr="002044DC" w:rsidRDefault="002044DC" w:rsidP="000D6C22">
            <w:pPr>
              <w:rPr>
                <w:rFonts w:ascii="Arial Nova" w:eastAsia="Times New Roman" w:hAnsi="Arial Nova" w:cs="Times New Roman"/>
                <w:color w:val="000000"/>
                <w:sz w:val="20"/>
                <w:szCs w:val="20"/>
                <w:lang w:eastAsia="en-IN"/>
              </w:rPr>
            </w:pPr>
          </w:p>
          <w:p w14:paraId="597BAF96"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1</w:t>
            </w:r>
          </w:p>
        </w:tc>
        <w:tc>
          <w:tcPr>
            <w:tcW w:w="1564" w:type="dxa"/>
          </w:tcPr>
          <w:p w14:paraId="790BF587"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12,767</w:t>
            </w:r>
          </w:p>
          <w:p w14:paraId="5AD73114" w14:textId="77777777" w:rsidR="002044DC" w:rsidRPr="002044DC" w:rsidRDefault="002044DC" w:rsidP="000D6C22">
            <w:pPr>
              <w:rPr>
                <w:rFonts w:ascii="Arial Nova" w:hAnsi="Arial Nova" w:cs="Times New Roman"/>
                <w:sz w:val="20"/>
                <w:szCs w:val="20"/>
              </w:rPr>
            </w:pPr>
          </w:p>
          <w:p w14:paraId="0C82C1FB"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75</w:t>
            </w:r>
          </w:p>
          <w:p w14:paraId="0F587B60" w14:textId="77777777" w:rsidR="002044DC" w:rsidRPr="002044DC" w:rsidRDefault="002044DC" w:rsidP="000D6C22">
            <w:pPr>
              <w:rPr>
                <w:rFonts w:ascii="Arial Nova" w:hAnsi="Arial Nova" w:cs="Times New Roman"/>
                <w:sz w:val="20"/>
                <w:szCs w:val="20"/>
              </w:rPr>
            </w:pPr>
          </w:p>
          <w:p w14:paraId="5081C666"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36</w:t>
            </w:r>
          </w:p>
          <w:p w14:paraId="1DA51D8F"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55</w:t>
            </w:r>
          </w:p>
          <w:p w14:paraId="626BBD0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 xml:space="preserve">45 </w:t>
            </w:r>
          </w:p>
          <w:p w14:paraId="5A3EC932"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188</w:t>
            </w:r>
          </w:p>
          <w:p w14:paraId="35B96A57"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9</w:t>
            </w:r>
          </w:p>
          <w:p w14:paraId="25316A04"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474</w:t>
            </w:r>
          </w:p>
          <w:p w14:paraId="73BCF032"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851</w:t>
            </w:r>
          </w:p>
          <w:p w14:paraId="325798B7" w14:textId="77777777" w:rsidR="002044DC" w:rsidRPr="002044DC" w:rsidRDefault="002044DC" w:rsidP="000D6C22">
            <w:pPr>
              <w:rPr>
                <w:rFonts w:ascii="Arial Nova" w:hAnsi="Arial Nova" w:cs="Times New Roman"/>
                <w:sz w:val="20"/>
                <w:szCs w:val="20"/>
              </w:rPr>
            </w:pPr>
          </w:p>
          <w:p w14:paraId="658A635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11,000</w:t>
            </w:r>
          </w:p>
          <w:p w14:paraId="09121006" w14:textId="77777777" w:rsidR="002044DC" w:rsidRPr="002044DC" w:rsidRDefault="002044DC" w:rsidP="000D6C22">
            <w:pPr>
              <w:rPr>
                <w:rFonts w:ascii="Arial Nova" w:hAnsi="Arial Nova" w:cs="Times New Roman"/>
                <w:sz w:val="20"/>
                <w:szCs w:val="20"/>
              </w:rPr>
            </w:pPr>
          </w:p>
          <w:p w14:paraId="14FD5C9F" w14:textId="77777777" w:rsidR="002044DC" w:rsidRPr="002044DC" w:rsidRDefault="002044DC" w:rsidP="000D6C22">
            <w:pPr>
              <w:rPr>
                <w:rFonts w:ascii="Arial Nova" w:hAnsi="Arial Nova" w:cs="Times New Roman"/>
                <w:sz w:val="20"/>
                <w:szCs w:val="20"/>
              </w:rPr>
            </w:pPr>
          </w:p>
          <w:p w14:paraId="56D6FA34"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34</w:t>
            </w:r>
          </w:p>
        </w:tc>
        <w:tc>
          <w:tcPr>
            <w:tcW w:w="1837" w:type="dxa"/>
          </w:tcPr>
          <w:p w14:paraId="104990CF"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164</w:t>
            </w:r>
          </w:p>
          <w:p w14:paraId="71450899" w14:textId="77777777" w:rsidR="002044DC" w:rsidRPr="002044DC" w:rsidRDefault="002044DC" w:rsidP="000D6C22">
            <w:pPr>
              <w:rPr>
                <w:rFonts w:ascii="Arial Nova" w:hAnsi="Arial Nova" w:cs="Times New Roman"/>
                <w:sz w:val="20"/>
                <w:szCs w:val="20"/>
              </w:rPr>
            </w:pPr>
          </w:p>
          <w:p w14:paraId="0067C6A7"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NA</w:t>
            </w:r>
          </w:p>
          <w:p w14:paraId="283CABE4" w14:textId="77777777" w:rsidR="002044DC" w:rsidRPr="002044DC" w:rsidRDefault="002044DC" w:rsidP="000D6C22">
            <w:pPr>
              <w:rPr>
                <w:rFonts w:ascii="Arial Nova" w:hAnsi="Arial Nova" w:cs="Times New Roman"/>
                <w:sz w:val="20"/>
                <w:szCs w:val="20"/>
              </w:rPr>
            </w:pPr>
          </w:p>
          <w:p w14:paraId="3A9B1EA6"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NA</w:t>
            </w:r>
          </w:p>
          <w:p w14:paraId="6BF39FD7"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13</w:t>
            </w:r>
          </w:p>
          <w:p w14:paraId="7C47FDA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NA</w:t>
            </w:r>
          </w:p>
          <w:p w14:paraId="70D9F382"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745FC353"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3</w:t>
            </w:r>
          </w:p>
          <w:p w14:paraId="18D54629"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148</w:t>
            </w:r>
          </w:p>
          <w:p w14:paraId="48F141E0"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6A7903F1" w14:textId="77777777" w:rsidR="002044DC" w:rsidRPr="002044DC" w:rsidRDefault="002044DC" w:rsidP="000D6C22">
            <w:pPr>
              <w:rPr>
                <w:rFonts w:ascii="Arial Nova" w:hAnsi="Arial Nova" w:cs="Times New Roman"/>
                <w:sz w:val="20"/>
                <w:szCs w:val="20"/>
              </w:rPr>
            </w:pPr>
          </w:p>
          <w:p w14:paraId="3F991F06"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70480749" w14:textId="77777777" w:rsidR="002044DC" w:rsidRPr="002044DC" w:rsidRDefault="002044DC" w:rsidP="000D6C22">
            <w:pPr>
              <w:rPr>
                <w:rFonts w:ascii="Arial Nova" w:hAnsi="Arial Nova" w:cs="Times New Roman"/>
                <w:sz w:val="20"/>
                <w:szCs w:val="20"/>
              </w:rPr>
            </w:pPr>
          </w:p>
          <w:p w14:paraId="164C811F" w14:textId="77777777" w:rsidR="002044DC" w:rsidRPr="002044DC" w:rsidRDefault="002044DC" w:rsidP="000D6C22">
            <w:pPr>
              <w:rPr>
                <w:rFonts w:ascii="Arial Nova" w:hAnsi="Arial Nova" w:cs="Times New Roman"/>
                <w:sz w:val="20"/>
                <w:szCs w:val="20"/>
              </w:rPr>
            </w:pPr>
          </w:p>
          <w:p w14:paraId="100230A5"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3F10EE20" w14:textId="77777777" w:rsidR="002044DC" w:rsidRPr="002044DC" w:rsidRDefault="002044DC" w:rsidP="000D6C22">
            <w:pPr>
              <w:rPr>
                <w:rFonts w:ascii="Arial Nova" w:hAnsi="Arial Nova" w:cs="Times New Roman"/>
                <w:sz w:val="20"/>
                <w:szCs w:val="20"/>
              </w:rPr>
            </w:pPr>
          </w:p>
        </w:tc>
        <w:tc>
          <w:tcPr>
            <w:tcW w:w="1462" w:type="dxa"/>
          </w:tcPr>
          <w:p w14:paraId="078C26B5"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145</w:t>
            </w:r>
          </w:p>
          <w:p w14:paraId="26B5A281" w14:textId="77777777" w:rsidR="002044DC" w:rsidRPr="002044DC" w:rsidRDefault="002044DC" w:rsidP="000D6C22">
            <w:pPr>
              <w:rPr>
                <w:rFonts w:ascii="Arial Nova" w:hAnsi="Arial Nova" w:cs="Times New Roman"/>
                <w:sz w:val="20"/>
                <w:szCs w:val="20"/>
              </w:rPr>
            </w:pPr>
          </w:p>
          <w:p w14:paraId="212803E9"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75</w:t>
            </w:r>
          </w:p>
          <w:p w14:paraId="172ABB58" w14:textId="77777777" w:rsidR="002044DC" w:rsidRPr="002044DC" w:rsidRDefault="002044DC" w:rsidP="000D6C22">
            <w:pPr>
              <w:rPr>
                <w:rFonts w:ascii="Arial Nova" w:hAnsi="Arial Nova" w:cs="Times New Roman"/>
                <w:sz w:val="20"/>
                <w:szCs w:val="20"/>
              </w:rPr>
            </w:pPr>
          </w:p>
          <w:p w14:paraId="5D61CD33"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36</w:t>
            </w:r>
          </w:p>
          <w:p w14:paraId="0C09FA24"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75CDFE0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45</w:t>
            </w:r>
          </w:p>
          <w:p w14:paraId="7A9779A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20221817"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5702F4E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277A5E3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1C7D6070" w14:textId="77777777" w:rsidR="002044DC" w:rsidRPr="002044DC" w:rsidRDefault="002044DC" w:rsidP="000D6C22">
            <w:pPr>
              <w:rPr>
                <w:rFonts w:ascii="Arial Nova" w:hAnsi="Arial Nova" w:cs="Times New Roman"/>
                <w:sz w:val="20"/>
                <w:szCs w:val="20"/>
              </w:rPr>
            </w:pPr>
          </w:p>
          <w:p w14:paraId="10E97737"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678F3A3E" w14:textId="77777777" w:rsidR="002044DC" w:rsidRPr="002044DC" w:rsidRDefault="002044DC" w:rsidP="000D6C22">
            <w:pPr>
              <w:rPr>
                <w:rFonts w:ascii="Arial Nova" w:hAnsi="Arial Nova" w:cs="Times New Roman"/>
                <w:sz w:val="20"/>
                <w:szCs w:val="20"/>
              </w:rPr>
            </w:pPr>
          </w:p>
          <w:p w14:paraId="7CBA3E60" w14:textId="77777777" w:rsidR="002044DC" w:rsidRPr="002044DC" w:rsidRDefault="002044DC" w:rsidP="000D6C22">
            <w:pPr>
              <w:rPr>
                <w:rFonts w:ascii="Arial Nova" w:hAnsi="Arial Nova" w:cs="Times New Roman"/>
                <w:sz w:val="20"/>
                <w:szCs w:val="20"/>
              </w:rPr>
            </w:pPr>
          </w:p>
          <w:p w14:paraId="0FF7F19F"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35FD2745" w14:textId="77777777" w:rsidR="002044DC" w:rsidRPr="002044DC" w:rsidRDefault="002044DC" w:rsidP="000D6C22">
            <w:pPr>
              <w:rPr>
                <w:rFonts w:ascii="Arial Nova" w:hAnsi="Arial Nova" w:cs="Times New Roman"/>
                <w:sz w:val="20"/>
                <w:szCs w:val="20"/>
              </w:rPr>
            </w:pPr>
          </w:p>
          <w:p w14:paraId="4BD858FC" w14:textId="77777777" w:rsidR="002044DC" w:rsidRPr="002044DC" w:rsidRDefault="002044DC" w:rsidP="000D6C22">
            <w:pPr>
              <w:rPr>
                <w:rFonts w:ascii="Arial Nova" w:hAnsi="Arial Nova" w:cs="Times New Roman"/>
                <w:sz w:val="20"/>
                <w:szCs w:val="20"/>
              </w:rPr>
            </w:pPr>
          </w:p>
        </w:tc>
        <w:tc>
          <w:tcPr>
            <w:tcW w:w="1462" w:type="dxa"/>
          </w:tcPr>
          <w:p w14:paraId="45DA89FF"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76</w:t>
            </w:r>
          </w:p>
          <w:p w14:paraId="6BECDC4B" w14:textId="77777777" w:rsidR="002044DC" w:rsidRPr="002044DC" w:rsidRDefault="002044DC" w:rsidP="000D6C22">
            <w:pPr>
              <w:rPr>
                <w:rFonts w:ascii="Arial Nova" w:hAnsi="Arial Nova" w:cs="Times New Roman"/>
                <w:sz w:val="20"/>
                <w:szCs w:val="20"/>
              </w:rPr>
            </w:pPr>
          </w:p>
          <w:p w14:paraId="78CC0F3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30</w:t>
            </w:r>
          </w:p>
          <w:p w14:paraId="4770DFCA" w14:textId="77777777" w:rsidR="002044DC" w:rsidRPr="002044DC" w:rsidRDefault="002044DC" w:rsidP="000D6C22">
            <w:pPr>
              <w:rPr>
                <w:rFonts w:ascii="Arial Nova" w:hAnsi="Arial Nova" w:cs="Times New Roman"/>
                <w:sz w:val="20"/>
                <w:szCs w:val="20"/>
              </w:rPr>
            </w:pPr>
          </w:p>
          <w:p w14:paraId="5046196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18</w:t>
            </w:r>
          </w:p>
          <w:p w14:paraId="2C4885A4"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753BB187"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27</w:t>
            </w:r>
          </w:p>
          <w:p w14:paraId="0E1676CA"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0ED7E8D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0C0C688F"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w:t>
            </w:r>
          </w:p>
          <w:p w14:paraId="5313F15E"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3F1F7E90" w14:textId="77777777" w:rsidR="002044DC" w:rsidRPr="002044DC" w:rsidRDefault="002044DC" w:rsidP="000D6C22">
            <w:pPr>
              <w:rPr>
                <w:rFonts w:ascii="Arial Nova" w:hAnsi="Arial Nova" w:cs="Times New Roman"/>
                <w:sz w:val="20"/>
                <w:szCs w:val="20"/>
              </w:rPr>
            </w:pPr>
          </w:p>
          <w:p w14:paraId="364724DE"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625E2838" w14:textId="77777777" w:rsidR="002044DC" w:rsidRPr="002044DC" w:rsidRDefault="002044DC" w:rsidP="000D6C22">
            <w:pPr>
              <w:rPr>
                <w:rFonts w:ascii="Arial Nova" w:hAnsi="Arial Nova" w:cs="Times New Roman"/>
                <w:sz w:val="20"/>
                <w:szCs w:val="20"/>
              </w:rPr>
            </w:pPr>
          </w:p>
          <w:p w14:paraId="5139E8CD" w14:textId="77777777" w:rsidR="002044DC" w:rsidRPr="002044DC" w:rsidRDefault="002044DC" w:rsidP="000D6C22">
            <w:pPr>
              <w:rPr>
                <w:rFonts w:ascii="Arial Nova" w:hAnsi="Arial Nova" w:cs="Times New Roman"/>
                <w:sz w:val="20"/>
                <w:szCs w:val="20"/>
              </w:rPr>
            </w:pPr>
          </w:p>
          <w:p w14:paraId="35A4CF00"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0EA5F444" w14:textId="77777777" w:rsidR="002044DC" w:rsidRPr="002044DC" w:rsidRDefault="002044DC" w:rsidP="000D6C22">
            <w:pPr>
              <w:rPr>
                <w:rFonts w:ascii="Arial Nova" w:hAnsi="Arial Nova" w:cs="Times New Roman"/>
                <w:sz w:val="20"/>
                <w:szCs w:val="20"/>
              </w:rPr>
            </w:pPr>
          </w:p>
          <w:p w14:paraId="0F989033" w14:textId="77777777" w:rsidR="002044DC" w:rsidRPr="002044DC" w:rsidRDefault="002044DC" w:rsidP="000D6C22">
            <w:pPr>
              <w:rPr>
                <w:rFonts w:ascii="Arial Nova" w:hAnsi="Arial Nova" w:cs="Times New Roman"/>
                <w:sz w:val="20"/>
                <w:szCs w:val="20"/>
              </w:rPr>
            </w:pPr>
          </w:p>
        </w:tc>
      </w:tr>
      <w:tr w:rsidR="002044DC" w:rsidRPr="00A85C84" w14:paraId="78BE7B03" w14:textId="77777777" w:rsidTr="000D6C22">
        <w:trPr>
          <w:trHeight w:val="677"/>
        </w:trPr>
        <w:tc>
          <w:tcPr>
            <w:tcW w:w="1838" w:type="dxa"/>
          </w:tcPr>
          <w:p w14:paraId="48E1B14B" w14:textId="77777777" w:rsidR="002044DC" w:rsidRPr="002044DC" w:rsidRDefault="002044DC" w:rsidP="000D6C22">
            <w:pPr>
              <w:rPr>
                <w:rFonts w:ascii="Arial Nova" w:hAnsi="Arial Nova" w:cs="Times New Roman"/>
                <w:b/>
                <w:bCs/>
                <w:i/>
                <w:iCs/>
                <w:sz w:val="20"/>
                <w:szCs w:val="20"/>
              </w:rPr>
            </w:pPr>
            <w:r w:rsidRPr="002044DC">
              <w:rPr>
                <w:rFonts w:ascii="Arial Nova" w:hAnsi="Arial Nova" w:cs="Times New Roman"/>
                <w:b/>
                <w:bCs/>
                <w:i/>
                <w:iCs/>
                <w:sz w:val="20"/>
                <w:szCs w:val="20"/>
              </w:rPr>
              <w:t>Gram -ve cocci</w:t>
            </w:r>
          </w:p>
          <w:p w14:paraId="155B5A33" w14:textId="77777777" w:rsidR="002044DC" w:rsidRPr="002044DC" w:rsidRDefault="002044DC" w:rsidP="000D6C22">
            <w:pPr>
              <w:rPr>
                <w:rFonts w:ascii="Arial Nova" w:eastAsia="Times New Roman" w:hAnsi="Arial Nova" w:cs="Times New Roman"/>
                <w:color w:val="000000"/>
                <w:sz w:val="20"/>
                <w:szCs w:val="20"/>
                <w:lang w:eastAsia="en-IN"/>
              </w:rPr>
            </w:pPr>
          </w:p>
          <w:p w14:paraId="6CA002BC" w14:textId="77777777" w:rsidR="002044DC" w:rsidRPr="002044DC" w:rsidRDefault="002044DC" w:rsidP="000D6C22">
            <w:pPr>
              <w:rPr>
                <w:rFonts w:ascii="Arial Nova" w:eastAsia="Times New Roman" w:hAnsi="Arial Nova" w:cs="Times New Roman"/>
                <w:b/>
                <w:bCs/>
                <w:i/>
                <w:iCs/>
                <w:color w:val="000000"/>
                <w:sz w:val="20"/>
                <w:szCs w:val="20"/>
                <w:lang w:eastAsia="en-IN"/>
              </w:rPr>
            </w:pPr>
            <w:r w:rsidRPr="002044DC">
              <w:rPr>
                <w:rFonts w:ascii="Arial Nova" w:eastAsia="Times New Roman" w:hAnsi="Arial Nova" w:cs="Times New Roman"/>
                <w:color w:val="000000"/>
                <w:sz w:val="20"/>
                <w:szCs w:val="20"/>
                <w:lang w:eastAsia="en-IN"/>
              </w:rPr>
              <w:t xml:space="preserve">MDR Neisseria- gonorrhoeae </w:t>
            </w:r>
          </w:p>
        </w:tc>
        <w:tc>
          <w:tcPr>
            <w:tcW w:w="1522" w:type="dxa"/>
          </w:tcPr>
          <w:p w14:paraId="5195C694" w14:textId="77777777" w:rsidR="002044DC" w:rsidRPr="002044DC" w:rsidRDefault="002044DC" w:rsidP="000D6C22">
            <w:pPr>
              <w:rPr>
                <w:rFonts w:ascii="Arial Nova" w:eastAsia="Times New Roman" w:hAnsi="Arial Nova" w:cs="Times New Roman"/>
                <w:b/>
                <w:bCs/>
                <w:color w:val="000000"/>
                <w:sz w:val="20"/>
                <w:szCs w:val="20"/>
                <w:lang w:eastAsia="en-IN"/>
              </w:rPr>
            </w:pPr>
            <w:r w:rsidRPr="002044DC">
              <w:rPr>
                <w:rFonts w:ascii="Arial Nova" w:eastAsia="Times New Roman" w:hAnsi="Arial Nova" w:cs="Times New Roman"/>
                <w:b/>
                <w:bCs/>
                <w:color w:val="000000"/>
                <w:sz w:val="20"/>
                <w:szCs w:val="20"/>
                <w:lang w:eastAsia="en-IN"/>
              </w:rPr>
              <w:t>4</w:t>
            </w:r>
          </w:p>
          <w:p w14:paraId="79F00556" w14:textId="77777777" w:rsidR="002044DC" w:rsidRPr="002044DC" w:rsidRDefault="002044DC" w:rsidP="000D6C22">
            <w:pPr>
              <w:rPr>
                <w:rFonts w:ascii="Arial Nova" w:eastAsia="Times New Roman" w:hAnsi="Arial Nova" w:cs="Times New Roman"/>
                <w:color w:val="000000"/>
                <w:sz w:val="20"/>
                <w:szCs w:val="20"/>
                <w:lang w:eastAsia="en-IN"/>
              </w:rPr>
            </w:pPr>
          </w:p>
          <w:p w14:paraId="0809B1D3"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4</w:t>
            </w:r>
          </w:p>
        </w:tc>
        <w:tc>
          <w:tcPr>
            <w:tcW w:w="1564" w:type="dxa"/>
          </w:tcPr>
          <w:p w14:paraId="76F7AF9C"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6</w:t>
            </w:r>
          </w:p>
          <w:p w14:paraId="1718EA36" w14:textId="77777777" w:rsidR="002044DC" w:rsidRPr="002044DC" w:rsidRDefault="002044DC" w:rsidP="000D6C22">
            <w:pPr>
              <w:rPr>
                <w:rFonts w:ascii="Arial Nova" w:hAnsi="Arial Nova" w:cs="Times New Roman"/>
                <w:sz w:val="20"/>
                <w:szCs w:val="20"/>
              </w:rPr>
            </w:pPr>
          </w:p>
          <w:p w14:paraId="31DDDAE2"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6</w:t>
            </w:r>
          </w:p>
        </w:tc>
        <w:tc>
          <w:tcPr>
            <w:tcW w:w="1837" w:type="dxa"/>
          </w:tcPr>
          <w:p w14:paraId="2722CB99"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w:t>
            </w:r>
          </w:p>
          <w:p w14:paraId="7CE96899" w14:textId="77777777" w:rsidR="002044DC" w:rsidRPr="002044DC" w:rsidRDefault="002044DC" w:rsidP="000D6C22">
            <w:pPr>
              <w:rPr>
                <w:rFonts w:ascii="Arial Nova" w:hAnsi="Arial Nova" w:cs="Times New Roman"/>
                <w:sz w:val="20"/>
                <w:szCs w:val="20"/>
              </w:rPr>
            </w:pPr>
          </w:p>
          <w:p w14:paraId="215EA26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tc>
        <w:tc>
          <w:tcPr>
            <w:tcW w:w="1462" w:type="dxa"/>
          </w:tcPr>
          <w:p w14:paraId="46883330"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0</w:t>
            </w:r>
          </w:p>
          <w:p w14:paraId="72208B01" w14:textId="77777777" w:rsidR="002044DC" w:rsidRPr="002044DC" w:rsidRDefault="002044DC" w:rsidP="000D6C22">
            <w:pPr>
              <w:rPr>
                <w:rFonts w:ascii="Arial Nova" w:hAnsi="Arial Nova" w:cs="Times New Roman"/>
                <w:sz w:val="20"/>
                <w:szCs w:val="20"/>
              </w:rPr>
            </w:pPr>
          </w:p>
          <w:p w14:paraId="6581AC02"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tc>
        <w:tc>
          <w:tcPr>
            <w:tcW w:w="1462" w:type="dxa"/>
          </w:tcPr>
          <w:p w14:paraId="3AB0B24D"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0</w:t>
            </w:r>
          </w:p>
          <w:p w14:paraId="27B50B31" w14:textId="77777777" w:rsidR="002044DC" w:rsidRPr="002044DC" w:rsidRDefault="002044DC" w:rsidP="000D6C22">
            <w:pPr>
              <w:rPr>
                <w:rFonts w:ascii="Arial Nova" w:hAnsi="Arial Nova" w:cs="Times New Roman"/>
                <w:sz w:val="20"/>
                <w:szCs w:val="20"/>
              </w:rPr>
            </w:pPr>
          </w:p>
          <w:p w14:paraId="677B1AC2"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tc>
      </w:tr>
      <w:tr w:rsidR="002044DC" w:rsidRPr="00A85C84" w14:paraId="7E355C3F" w14:textId="77777777" w:rsidTr="000D6C22">
        <w:trPr>
          <w:trHeight w:val="1560"/>
        </w:trPr>
        <w:tc>
          <w:tcPr>
            <w:tcW w:w="1838" w:type="dxa"/>
          </w:tcPr>
          <w:p w14:paraId="3E820991" w14:textId="77777777" w:rsidR="002044DC" w:rsidRPr="002044DC" w:rsidRDefault="002044DC" w:rsidP="000D6C22">
            <w:pPr>
              <w:rPr>
                <w:rFonts w:ascii="Arial Nova" w:eastAsia="Times New Roman" w:hAnsi="Arial Nova" w:cs="Times New Roman"/>
                <w:b/>
                <w:bCs/>
                <w:i/>
                <w:iCs/>
                <w:color w:val="000000"/>
                <w:sz w:val="20"/>
                <w:szCs w:val="20"/>
                <w:lang w:eastAsia="en-IN"/>
              </w:rPr>
            </w:pPr>
            <w:r w:rsidRPr="002044DC">
              <w:rPr>
                <w:rFonts w:ascii="Arial Nova" w:eastAsia="Times New Roman" w:hAnsi="Arial Nova" w:cs="Times New Roman"/>
                <w:b/>
                <w:bCs/>
                <w:i/>
                <w:iCs/>
                <w:color w:val="000000"/>
                <w:sz w:val="20"/>
                <w:szCs w:val="20"/>
                <w:lang w:eastAsia="en-IN"/>
              </w:rPr>
              <w:t>Others</w:t>
            </w:r>
          </w:p>
          <w:p w14:paraId="1DB5D3AC" w14:textId="77777777" w:rsidR="002044DC" w:rsidRPr="002044DC" w:rsidRDefault="002044DC" w:rsidP="000D6C22">
            <w:pPr>
              <w:rPr>
                <w:rFonts w:ascii="Arial Nova" w:eastAsia="Times New Roman" w:hAnsi="Arial Nova" w:cs="Times New Roman"/>
                <w:b/>
                <w:bCs/>
                <w:i/>
                <w:iCs/>
                <w:color w:val="000000"/>
                <w:sz w:val="20"/>
                <w:szCs w:val="20"/>
                <w:lang w:eastAsia="en-IN"/>
              </w:rPr>
            </w:pPr>
          </w:p>
          <w:p w14:paraId="638638B6"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Candida Auris</w:t>
            </w:r>
          </w:p>
          <w:p w14:paraId="2F3A860B"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DR Mycobacterium -Tuberculosis</w:t>
            </w:r>
          </w:p>
          <w:p w14:paraId="73352B5C" w14:textId="77777777" w:rsidR="002044DC" w:rsidRPr="002044DC" w:rsidRDefault="002044DC" w:rsidP="000D6C22">
            <w:pPr>
              <w:rPr>
                <w:rFonts w:ascii="Arial Nova" w:eastAsia="Times New Roman" w:hAnsi="Arial Nova" w:cs="Times New Roman"/>
                <w:b/>
                <w:bCs/>
                <w:i/>
                <w:iCs/>
                <w:color w:val="000000"/>
                <w:sz w:val="20"/>
                <w:szCs w:val="20"/>
                <w:lang w:eastAsia="en-IN"/>
              </w:rPr>
            </w:pPr>
            <w:r w:rsidRPr="002044DC">
              <w:rPr>
                <w:rFonts w:ascii="Arial Nova" w:eastAsia="Times New Roman" w:hAnsi="Arial Nova" w:cs="Times New Roman"/>
                <w:color w:val="000000"/>
                <w:sz w:val="20"/>
                <w:szCs w:val="20"/>
                <w:lang w:eastAsia="en-IN"/>
              </w:rPr>
              <w:t xml:space="preserve">Influenza virus </w:t>
            </w:r>
          </w:p>
        </w:tc>
        <w:tc>
          <w:tcPr>
            <w:tcW w:w="1522" w:type="dxa"/>
          </w:tcPr>
          <w:p w14:paraId="59CD60AE" w14:textId="77777777" w:rsidR="002044DC" w:rsidRPr="002044DC" w:rsidRDefault="002044DC" w:rsidP="000D6C22">
            <w:pPr>
              <w:rPr>
                <w:rFonts w:ascii="Arial Nova" w:eastAsia="Times New Roman" w:hAnsi="Arial Nova" w:cs="Times New Roman"/>
                <w:b/>
                <w:bCs/>
                <w:color w:val="000000"/>
                <w:sz w:val="20"/>
                <w:szCs w:val="20"/>
                <w:lang w:eastAsia="en-IN"/>
              </w:rPr>
            </w:pPr>
            <w:r w:rsidRPr="002044DC">
              <w:rPr>
                <w:rFonts w:ascii="Arial Nova" w:eastAsia="Times New Roman" w:hAnsi="Arial Nova" w:cs="Times New Roman"/>
                <w:b/>
                <w:bCs/>
                <w:color w:val="000000"/>
                <w:sz w:val="20"/>
                <w:szCs w:val="20"/>
                <w:lang w:eastAsia="en-IN"/>
              </w:rPr>
              <w:t>7</w:t>
            </w:r>
          </w:p>
          <w:p w14:paraId="3702E195" w14:textId="77777777" w:rsidR="002044DC" w:rsidRPr="002044DC" w:rsidRDefault="002044DC" w:rsidP="000D6C22">
            <w:pPr>
              <w:rPr>
                <w:rFonts w:ascii="Arial Nova" w:eastAsia="Times New Roman" w:hAnsi="Arial Nova" w:cs="Times New Roman"/>
                <w:color w:val="000000"/>
                <w:sz w:val="20"/>
                <w:szCs w:val="20"/>
                <w:lang w:eastAsia="en-IN"/>
              </w:rPr>
            </w:pPr>
          </w:p>
          <w:p w14:paraId="0494D9F7"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5</w:t>
            </w:r>
          </w:p>
          <w:p w14:paraId="5D7A7B1F"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1</w:t>
            </w:r>
          </w:p>
          <w:p w14:paraId="3ED23C6A" w14:textId="77777777" w:rsidR="002044DC" w:rsidRPr="002044DC" w:rsidRDefault="002044DC" w:rsidP="000D6C22">
            <w:pPr>
              <w:rPr>
                <w:rFonts w:ascii="Arial Nova" w:eastAsia="Times New Roman" w:hAnsi="Arial Nova" w:cs="Times New Roman"/>
                <w:color w:val="000000"/>
                <w:sz w:val="20"/>
                <w:szCs w:val="20"/>
                <w:lang w:eastAsia="en-IN"/>
              </w:rPr>
            </w:pPr>
          </w:p>
          <w:p w14:paraId="2264746B" w14:textId="77777777" w:rsidR="002044DC" w:rsidRPr="002044DC" w:rsidRDefault="002044DC" w:rsidP="000D6C22">
            <w:pPr>
              <w:rPr>
                <w:rFonts w:ascii="Arial Nova" w:eastAsia="Times New Roman" w:hAnsi="Arial Nova" w:cs="Times New Roman"/>
                <w:color w:val="000000"/>
                <w:sz w:val="20"/>
                <w:szCs w:val="20"/>
                <w:lang w:eastAsia="en-IN"/>
              </w:rPr>
            </w:pPr>
            <w:r w:rsidRPr="002044DC">
              <w:rPr>
                <w:rFonts w:ascii="Arial Nova" w:eastAsia="Times New Roman" w:hAnsi="Arial Nova" w:cs="Times New Roman"/>
                <w:color w:val="000000"/>
                <w:sz w:val="20"/>
                <w:szCs w:val="20"/>
                <w:lang w:eastAsia="en-IN"/>
              </w:rPr>
              <w:t>1</w:t>
            </w:r>
          </w:p>
          <w:p w14:paraId="02D2F269" w14:textId="77777777" w:rsidR="002044DC" w:rsidRPr="002044DC" w:rsidRDefault="002044DC" w:rsidP="000D6C22">
            <w:pPr>
              <w:rPr>
                <w:rFonts w:ascii="Arial Nova" w:eastAsia="Times New Roman" w:hAnsi="Arial Nova" w:cs="Times New Roman"/>
                <w:color w:val="000000"/>
                <w:sz w:val="20"/>
                <w:szCs w:val="20"/>
                <w:lang w:eastAsia="en-IN"/>
              </w:rPr>
            </w:pPr>
          </w:p>
        </w:tc>
        <w:tc>
          <w:tcPr>
            <w:tcW w:w="1564" w:type="dxa"/>
          </w:tcPr>
          <w:p w14:paraId="71AA48D5"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431</w:t>
            </w:r>
          </w:p>
          <w:p w14:paraId="2CB91768" w14:textId="77777777" w:rsidR="002044DC" w:rsidRPr="002044DC" w:rsidRDefault="002044DC" w:rsidP="000D6C22">
            <w:pPr>
              <w:rPr>
                <w:rFonts w:ascii="Arial Nova" w:hAnsi="Arial Nova" w:cs="Times New Roman"/>
                <w:sz w:val="20"/>
                <w:szCs w:val="20"/>
              </w:rPr>
            </w:pPr>
          </w:p>
          <w:p w14:paraId="53C3BD4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412</w:t>
            </w:r>
          </w:p>
          <w:p w14:paraId="17415E75"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17</w:t>
            </w:r>
          </w:p>
          <w:p w14:paraId="41D1662D" w14:textId="77777777" w:rsidR="002044DC" w:rsidRPr="002044DC" w:rsidRDefault="002044DC" w:rsidP="000D6C22">
            <w:pPr>
              <w:rPr>
                <w:rFonts w:ascii="Arial Nova" w:hAnsi="Arial Nova" w:cs="Times New Roman"/>
                <w:sz w:val="20"/>
                <w:szCs w:val="20"/>
              </w:rPr>
            </w:pPr>
          </w:p>
          <w:p w14:paraId="1949A49E"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2</w:t>
            </w:r>
          </w:p>
        </w:tc>
        <w:tc>
          <w:tcPr>
            <w:tcW w:w="1837" w:type="dxa"/>
          </w:tcPr>
          <w:p w14:paraId="393CF3D3"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w:t>
            </w:r>
          </w:p>
          <w:p w14:paraId="7262C8DB" w14:textId="77777777" w:rsidR="002044DC" w:rsidRPr="002044DC" w:rsidRDefault="002044DC" w:rsidP="000D6C22">
            <w:pPr>
              <w:rPr>
                <w:rFonts w:ascii="Arial Nova" w:hAnsi="Arial Nova" w:cs="Times New Roman"/>
                <w:sz w:val="20"/>
                <w:szCs w:val="20"/>
              </w:rPr>
            </w:pPr>
          </w:p>
          <w:p w14:paraId="52C06647"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 xml:space="preserve">NR + NA </w:t>
            </w:r>
          </w:p>
          <w:p w14:paraId="3A20A136"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p w14:paraId="10D57248" w14:textId="77777777" w:rsidR="002044DC" w:rsidRPr="002044DC" w:rsidRDefault="002044DC" w:rsidP="000D6C22">
            <w:pPr>
              <w:rPr>
                <w:rFonts w:ascii="Arial Nova" w:hAnsi="Arial Nova" w:cs="Times New Roman"/>
                <w:sz w:val="20"/>
                <w:szCs w:val="20"/>
              </w:rPr>
            </w:pPr>
          </w:p>
          <w:p w14:paraId="678DE994"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NR</w:t>
            </w:r>
          </w:p>
        </w:tc>
        <w:tc>
          <w:tcPr>
            <w:tcW w:w="1462" w:type="dxa"/>
          </w:tcPr>
          <w:p w14:paraId="4A46C029"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270</w:t>
            </w:r>
          </w:p>
          <w:p w14:paraId="1746C63B" w14:textId="77777777" w:rsidR="002044DC" w:rsidRPr="002044DC" w:rsidRDefault="002044DC" w:rsidP="000D6C22">
            <w:pPr>
              <w:rPr>
                <w:rFonts w:ascii="Arial Nova" w:hAnsi="Arial Nova" w:cs="Times New Roman"/>
                <w:sz w:val="20"/>
                <w:szCs w:val="20"/>
              </w:rPr>
            </w:pPr>
          </w:p>
          <w:p w14:paraId="112F770A"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270</w:t>
            </w:r>
          </w:p>
          <w:p w14:paraId="64F6778C"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5E55298C" w14:textId="77777777" w:rsidR="002044DC" w:rsidRPr="002044DC" w:rsidRDefault="002044DC" w:rsidP="000D6C22">
            <w:pPr>
              <w:rPr>
                <w:rFonts w:ascii="Arial Nova" w:hAnsi="Arial Nova" w:cs="Times New Roman"/>
                <w:sz w:val="20"/>
                <w:szCs w:val="20"/>
              </w:rPr>
            </w:pPr>
          </w:p>
          <w:p w14:paraId="0427CB16"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tc>
        <w:tc>
          <w:tcPr>
            <w:tcW w:w="1462" w:type="dxa"/>
          </w:tcPr>
          <w:p w14:paraId="05A6BBB3" w14:textId="77777777" w:rsidR="002044DC" w:rsidRPr="002044DC" w:rsidRDefault="002044DC" w:rsidP="000D6C22">
            <w:pPr>
              <w:rPr>
                <w:rFonts w:ascii="Arial Nova" w:hAnsi="Arial Nova" w:cs="Times New Roman"/>
                <w:b/>
                <w:bCs/>
                <w:sz w:val="20"/>
                <w:szCs w:val="20"/>
              </w:rPr>
            </w:pPr>
            <w:r w:rsidRPr="002044DC">
              <w:rPr>
                <w:rFonts w:ascii="Arial Nova" w:hAnsi="Arial Nova" w:cs="Times New Roman"/>
                <w:b/>
                <w:bCs/>
                <w:sz w:val="20"/>
                <w:szCs w:val="20"/>
              </w:rPr>
              <w:t>40</w:t>
            </w:r>
          </w:p>
          <w:p w14:paraId="687B780C" w14:textId="77777777" w:rsidR="002044DC" w:rsidRPr="002044DC" w:rsidRDefault="002044DC" w:rsidP="000D6C22">
            <w:pPr>
              <w:rPr>
                <w:rFonts w:ascii="Arial Nova" w:hAnsi="Arial Nova" w:cs="Times New Roman"/>
                <w:sz w:val="20"/>
                <w:szCs w:val="20"/>
              </w:rPr>
            </w:pPr>
          </w:p>
          <w:p w14:paraId="63B96323"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40</w:t>
            </w:r>
          </w:p>
          <w:p w14:paraId="5A1D1C71"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p w14:paraId="29D8F604" w14:textId="77777777" w:rsidR="002044DC" w:rsidRPr="002044DC" w:rsidRDefault="002044DC" w:rsidP="000D6C22">
            <w:pPr>
              <w:rPr>
                <w:rFonts w:ascii="Arial Nova" w:hAnsi="Arial Nova" w:cs="Times New Roman"/>
                <w:sz w:val="20"/>
                <w:szCs w:val="20"/>
              </w:rPr>
            </w:pPr>
          </w:p>
          <w:p w14:paraId="0362BE90"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0</w:t>
            </w:r>
          </w:p>
        </w:tc>
      </w:tr>
      <w:tr w:rsidR="002044DC" w:rsidRPr="00A85C84" w14:paraId="66E89772" w14:textId="77777777" w:rsidTr="000D6C22">
        <w:trPr>
          <w:trHeight w:val="268"/>
        </w:trPr>
        <w:tc>
          <w:tcPr>
            <w:tcW w:w="9685" w:type="dxa"/>
            <w:gridSpan w:val="6"/>
            <w:tcBorders>
              <w:bottom w:val="single" w:sz="4" w:space="0" w:color="auto"/>
            </w:tcBorders>
          </w:tcPr>
          <w:p w14:paraId="6020D718" w14:textId="77777777" w:rsidR="002044DC" w:rsidRPr="002044DC" w:rsidRDefault="002044DC" w:rsidP="000D6C22">
            <w:pPr>
              <w:rPr>
                <w:rFonts w:ascii="Arial Nova" w:hAnsi="Arial Nova" w:cs="Times New Roman"/>
                <w:sz w:val="20"/>
                <w:szCs w:val="20"/>
              </w:rPr>
            </w:pPr>
            <w:r w:rsidRPr="002044DC">
              <w:rPr>
                <w:rFonts w:ascii="Arial Nova" w:hAnsi="Arial Nova" w:cs="Times New Roman"/>
                <w:sz w:val="20"/>
                <w:szCs w:val="20"/>
              </w:rPr>
              <w:t>Total                           60                          18,275                     164                               462                        117</w:t>
            </w:r>
          </w:p>
        </w:tc>
      </w:tr>
      <w:tr w:rsidR="002044DC" w:rsidRPr="00A85C84" w14:paraId="17EDDEB9" w14:textId="77777777" w:rsidTr="000D6C22">
        <w:trPr>
          <w:trHeight w:val="280"/>
        </w:trPr>
        <w:tc>
          <w:tcPr>
            <w:tcW w:w="9685" w:type="dxa"/>
            <w:gridSpan w:val="6"/>
            <w:tcBorders>
              <w:top w:val="single" w:sz="4" w:space="0" w:color="auto"/>
            </w:tcBorders>
          </w:tcPr>
          <w:p w14:paraId="0406E78E" w14:textId="77777777" w:rsidR="002044DC" w:rsidRPr="002044DC" w:rsidRDefault="002044DC" w:rsidP="000D6C22">
            <w:pPr>
              <w:rPr>
                <w:rFonts w:ascii="Arial Nova" w:hAnsi="Arial Nova" w:cs="Times New Roman"/>
                <w:sz w:val="20"/>
                <w:szCs w:val="20"/>
              </w:rPr>
            </w:pPr>
            <w:r w:rsidRPr="002044DC">
              <w:rPr>
                <w:rFonts w:ascii="Arial Nova" w:eastAsia="Times New Roman" w:hAnsi="Arial Nova" w:cs="Times New Roman"/>
                <w:color w:val="000000"/>
                <w:sz w:val="20"/>
                <w:szCs w:val="20"/>
                <w:lang w:eastAsia="en-IN"/>
              </w:rPr>
              <w:t>*NR-not reported, *NA-not applicable as the infections were acquired in hospitals.</w:t>
            </w:r>
          </w:p>
        </w:tc>
      </w:tr>
      <w:bookmarkEnd w:id="1"/>
    </w:tbl>
    <w:p w14:paraId="30F5B598" w14:textId="77777777" w:rsidR="00A85C84" w:rsidRPr="00A85C84" w:rsidRDefault="00A85C84" w:rsidP="00A85C84">
      <w:pPr>
        <w:spacing w:after="0" w:line="240" w:lineRule="auto"/>
        <w:jc w:val="both"/>
        <w:rPr>
          <w:rFonts w:ascii="Georgia" w:hAnsi="Georgia" w:cs="Times New Roman"/>
          <w:color w:val="201F1E"/>
          <w:sz w:val="20"/>
          <w:szCs w:val="20"/>
          <w:bdr w:val="none" w:sz="0" w:space="0" w:color="auto" w:frame="1"/>
          <w:lang w:val="en-GB"/>
        </w:rPr>
      </w:pPr>
    </w:p>
    <w:p w14:paraId="3480BA7E" w14:textId="77777777" w:rsidR="002044DC" w:rsidRDefault="002044DC" w:rsidP="00A85C84">
      <w:pPr>
        <w:spacing w:after="0" w:line="240" w:lineRule="auto"/>
        <w:jc w:val="both"/>
        <w:rPr>
          <w:rFonts w:ascii="Georgia" w:hAnsi="Georgia" w:cs="Times New Roman"/>
          <w:sz w:val="20"/>
          <w:szCs w:val="20"/>
        </w:rPr>
      </w:pPr>
    </w:p>
    <w:p w14:paraId="097B741F" w14:textId="3220EF15" w:rsidR="00137026" w:rsidRDefault="00137026" w:rsidP="00A85C84">
      <w:pPr>
        <w:spacing w:after="0" w:line="240" w:lineRule="auto"/>
        <w:jc w:val="both"/>
        <w:rPr>
          <w:rFonts w:ascii="Georgia" w:hAnsi="Georgia" w:cs="Times New Roman"/>
          <w:sz w:val="20"/>
          <w:szCs w:val="20"/>
        </w:rPr>
        <w:sectPr w:rsidR="00137026" w:rsidSect="00A85C84">
          <w:type w:val="continuous"/>
          <w:pgSz w:w="11906" w:h="16838"/>
          <w:pgMar w:top="1418" w:right="849" w:bottom="1560" w:left="851" w:header="426" w:footer="708" w:gutter="0"/>
          <w:cols w:space="284"/>
          <w:docGrid w:linePitch="360"/>
        </w:sectPr>
      </w:pPr>
    </w:p>
    <w:bookmarkEnd w:id="0"/>
    <w:p w14:paraId="1E59A3B8" w14:textId="184EEA58" w:rsidR="00A85C84" w:rsidRPr="002044DC" w:rsidRDefault="00A85C84" w:rsidP="00A85C84">
      <w:pPr>
        <w:spacing w:after="0" w:line="240" w:lineRule="auto"/>
        <w:jc w:val="both"/>
        <w:rPr>
          <w:rFonts w:ascii="Georgia" w:hAnsi="Georgia" w:cs="Times New Roman"/>
          <w:b/>
          <w:bCs/>
          <w:sz w:val="20"/>
          <w:szCs w:val="20"/>
        </w:rPr>
      </w:pPr>
      <w:r>
        <w:rPr>
          <w:rFonts w:ascii="Georgia" w:hAnsi="Georgia" w:cs="Times New Roman"/>
          <w:color w:val="000000"/>
          <w:sz w:val="20"/>
          <w:szCs w:val="20"/>
          <w:shd w:val="clear" w:color="auto" w:fill="FFFFFF"/>
        </w:rPr>
        <w:t xml:space="preserve">    </w:t>
      </w:r>
      <w:r w:rsidRPr="00A85C84">
        <w:rPr>
          <w:rFonts w:ascii="Georgia" w:hAnsi="Georgia" w:cs="Times New Roman"/>
          <w:color w:val="000000"/>
          <w:sz w:val="20"/>
          <w:szCs w:val="20"/>
          <w:shd w:val="clear" w:color="auto" w:fill="FFFFFF"/>
        </w:rPr>
        <w:t>There were recurrent outbreaks of a drug resistant fungus, Candida Auris in US</w:t>
      </w:r>
      <w:r w:rsidR="00F041EE">
        <w:rPr>
          <w:rFonts w:ascii="Georgia" w:hAnsi="Georgia" w:cs="Times New Roman"/>
          <w:color w:val="000000"/>
          <w:sz w:val="20"/>
          <w:szCs w:val="20"/>
          <w:shd w:val="clear" w:color="auto" w:fill="FFFFFF"/>
        </w:rPr>
        <w:t>A</w:t>
      </w:r>
      <w:r w:rsidRPr="00A85C84">
        <w:rPr>
          <w:rFonts w:ascii="Georgia" w:hAnsi="Georgia" w:cs="Times New Roman"/>
          <w:color w:val="000000"/>
          <w:sz w:val="20"/>
          <w:szCs w:val="20"/>
          <w:shd w:val="clear" w:color="auto" w:fill="FFFFFF"/>
        </w:rPr>
        <w:t xml:space="preserve">. A significant proportion (&gt;60%) of these resistant fungal infections were contracted in health facilities and largely among the already compromised candidates. On the whole, most transmissions were occurring from spread of pathogens in health facilities. Mortality was strongly associated with patients acquiring the drug-resistant organisms in the hospital, especially with gram-negative bacilli like DR Klebsiella and Acinetobacter. Infants, elderly and medically compromised patients were the most vulnerable to MDR microorganisms. Additionally, </w:t>
      </w:r>
      <w:r w:rsidRPr="00A85C84">
        <w:rPr>
          <w:rFonts w:ascii="Georgia" w:hAnsi="Georgia" w:cs="Times New Roman"/>
          <w:sz w:val="20"/>
          <w:szCs w:val="20"/>
          <w:shd w:val="clear" w:color="auto" w:fill="FFFFFF"/>
        </w:rPr>
        <w:t>among bacteria, gram-negative bacilli were primary causative agents of healthcare-associated infections.</w:t>
      </w:r>
    </w:p>
    <w:p w14:paraId="159A1C4F" w14:textId="18EB4C1D" w:rsid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Comparing pathogen resistance to antimicrobials (Figure 3), a greater number of pathogens were resistant to antimicrobials inhibiting the synthesis of cell wall or interfering with the protein synthesis of the target bacteria. E-coli with the mcr gene and Salmonella had developed resistance to almost one antibiotic among the various categories. Also, within the cell wall inhibiting group the resistance to βlactam producing antibiotics is notable, especially to Penicillin, Cephalosporins and</w:t>
      </w:r>
      <w:r w:rsidR="00137026">
        <w:rPr>
          <w:rFonts w:ascii="Georgia" w:hAnsi="Georgia" w:cs="Times New Roman"/>
          <w:sz w:val="20"/>
          <w:szCs w:val="20"/>
        </w:rPr>
        <w:t xml:space="preserve"> </w:t>
      </w:r>
      <w:r w:rsidRPr="00A85C84">
        <w:rPr>
          <w:rFonts w:ascii="Georgia" w:hAnsi="Georgia" w:cs="Times New Roman"/>
          <w:sz w:val="20"/>
          <w:szCs w:val="20"/>
        </w:rPr>
        <w:t>Carbapenems. Importantly resistance was developing beyond bacterial domain to include viruses and fungi.</w:t>
      </w:r>
    </w:p>
    <w:p w14:paraId="4EC064B9" w14:textId="678972CA" w:rsidR="00A85C84" w:rsidRDefault="00A85C84" w:rsidP="00A85C84">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Further, gram-negative bacilli were resistant to almost all the classes of antibiotics. Between the cell wall inhibitors, gram-negative bacilli had lesser susceptibility </w:t>
      </w:r>
      <w:r w:rsidRPr="00A85C84">
        <w:rPr>
          <w:rFonts w:ascii="Georgia" w:hAnsi="Georgia" w:cs="Times New Roman"/>
          <w:sz w:val="20"/>
          <w:szCs w:val="20"/>
        </w:rPr>
        <w:lastRenderedPageBreak/>
        <w:t xml:space="preserve">to non-lactam producing drugs and Glycopeptides (which includes vancomycin and colistin). Further, gram-negative cocci were being lesser susceptible to cephalosporins and macrolides, such as Azithromycin. Majorly gram-negative bacilli, gram-positive cocci and gram-negative cocci were gaining resistance to Cephalosporins (Figure 4). </w:t>
      </w:r>
    </w:p>
    <w:p w14:paraId="34B886FF" w14:textId="77777777" w:rsidR="00137026" w:rsidRDefault="00137026" w:rsidP="00137026">
      <w:pPr>
        <w:spacing w:after="0" w:line="240" w:lineRule="auto"/>
        <w:jc w:val="both"/>
        <w:rPr>
          <w:rFonts w:ascii="Georgia" w:hAnsi="Georgia" w:cs="Times New Roman"/>
          <w:iCs/>
          <w:color w:val="0D0D0D" w:themeColor="text1" w:themeTint="F2"/>
          <w:sz w:val="20"/>
          <w:szCs w:val="20"/>
        </w:rPr>
      </w:pPr>
      <w:r>
        <w:rPr>
          <w:rStyle w:val="CommentReference"/>
          <w:rFonts w:ascii="Georgia" w:hAnsi="Georgia" w:cs="Times New Roman"/>
          <w:sz w:val="20"/>
          <w:szCs w:val="20"/>
        </w:rPr>
        <w:t xml:space="preserve">    </w:t>
      </w:r>
      <w:r w:rsidRPr="00A85C84">
        <w:rPr>
          <w:rStyle w:val="CommentReference"/>
          <w:rFonts w:ascii="Georgia" w:hAnsi="Georgia" w:cs="Times New Roman"/>
          <w:sz w:val="20"/>
          <w:szCs w:val="20"/>
        </w:rPr>
        <w:t>T</w:t>
      </w:r>
      <w:r w:rsidRPr="00A85C84">
        <w:rPr>
          <w:rFonts w:ascii="Georgia" w:hAnsi="Georgia" w:cs="Times New Roman"/>
          <w:color w:val="201F1E"/>
          <w:sz w:val="20"/>
          <w:szCs w:val="20"/>
          <w:bdr w:val="none" w:sz="0" w:space="0" w:color="auto" w:frame="1"/>
          <w:lang w:val="en-GB"/>
        </w:rPr>
        <w:t xml:space="preserve">he EpiWATCH data was compared to the WHO’s AMR surveillance system, GLASS, which has 68 countries voluntarily providing national AMR data </w:t>
      </w:r>
      <w:r w:rsidRPr="00A85C84">
        <w:rPr>
          <w:rFonts w:ascii="Georgia" w:hAnsi="Georgia" w:cs="Times New Roman"/>
          <w:color w:val="201F1E"/>
          <w:sz w:val="20"/>
          <w:szCs w:val="20"/>
          <w:bdr w:val="none" w:sz="0" w:space="0" w:color="auto" w:frame="1"/>
          <w:lang w:val="en-GB"/>
        </w:rPr>
        <w:fldChar w:fldCharType="begin"/>
      </w:r>
      <w:r w:rsidRPr="00A85C84">
        <w:rPr>
          <w:rFonts w:ascii="Georgia" w:hAnsi="Georgia" w:cs="Times New Roman"/>
          <w:color w:val="201F1E"/>
          <w:sz w:val="20"/>
          <w:szCs w:val="20"/>
          <w:bdr w:val="none" w:sz="0" w:space="0" w:color="auto" w:frame="1"/>
          <w:lang w:val="en-GB"/>
        </w:rPr>
        <w:instrText xml:space="preserve"> ADDIN EN.CITE &lt;EndNote&gt;&lt;Cite&gt;&lt;Author&gt;Organization&lt;/Author&gt;&lt;Year&gt;2019&lt;/Year&gt;&lt;RecNum&gt;567&lt;/RecNum&gt;&lt;DisplayText&gt;(13)&lt;/DisplayText&gt;&lt;record&gt;&lt;rec-number&gt;567&lt;/rec-number&gt;&lt;foreign-keys&gt;&lt;key app="EN" db-id="zxvt9psxt9rdw9e9rf555s2jpswv95p5wppv" timestamp="1587130915" guid="f2d32955-aa85-451a-9c85-fd3d51af9326"&gt;567&lt;/key&gt;&lt;/foreign-keys&gt;&lt;ref-type name="Generic"&gt;13&lt;/ref-type&gt;&lt;contributors&gt;&lt;authors&gt;&lt;author&gt;World Health Organization&lt;/author&gt;&lt;/authors&gt;&lt;/contributors&gt;&lt;titles&gt;&lt;title&gt;Global Antimicrobial Resistance Surveillance System (GLASS) Report: Early implementation 2016-2017. Geneva: WHO; 2017&lt;/title&gt;&lt;/titles&gt;&lt;dates&gt;&lt;year&gt;2019&lt;/year&gt;&lt;/dates&gt;&lt;urls&gt;&lt;/urls&gt;&lt;/record&gt;&lt;/Cite&gt;&lt;/EndNote&gt;</w:instrText>
      </w:r>
      <w:r w:rsidRPr="00A85C84">
        <w:rPr>
          <w:rFonts w:ascii="Georgia" w:hAnsi="Georgia" w:cs="Times New Roman"/>
          <w:color w:val="201F1E"/>
          <w:sz w:val="20"/>
          <w:szCs w:val="20"/>
          <w:bdr w:val="none" w:sz="0" w:space="0" w:color="auto" w:frame="1"/>
          <w:lang w:val="en-GB"/>
        </w:rPr>
        <w:fldChar w:fldCharType="separate"/>
      </w:r>
      <w:r w:rsidRPr="00A85C84">
        <w:rPr>
          <w:rFonts w:ascii="Georgia" w:hAnsi="Georgia" w:cs="Times New Roman"/>
          <w:noProof/>
          <w:color w:val="201F1E"/>
          <w:sz w:val="20"/>
          <w:szCs w:val="20"/>
          <w:bdr w:val="none" w:sz="0" w:space="0" w:color="auto" w:frame="1"/>
          <w:lang w:val="en-GB"/>
        </w:rPr>
        <w:t>(13)</w:t>
      </w:r>
      <w:r w:rsidRPr="00A85C84">
        <w:rPr>
          <w:rFonts w:ascii="Georgia" w:hAnsi="Georgia" w:cs="Times New Roman"/>
          <w:color w:val="201F1E"/>
          <w:sz w:val="20"/>
          <w:szCs w:val="20"/>
          <w:bdr w:val="none" w:sz="0" w:space="0" w:color="auto" w:frame="1"/>
          <w:lang w:val="en-GB"/>
        </w:rPr>
        <w:fldChar w:fldCharType="end"/>
      </w:r>
      <w:r w:rsidRPr="00A85C84">
        <w:rPr>
          <w:rFonts w:ascii="Georgia" w:hAnsi="Georgia" w:cs="Times New Roman"/>
          <w:color w:val="201F1E"/>
          <w:sz w:val="20"/>
          <w:szCs w:val="20"/>
          <w:bdr w:val="none" w:sz="0" w:space="0" w:color="auto" w:frame="1"/>
          <w:lang w:val="en-GB"/>
        </w:rPr>
        <w:t xml:space="preserve">. </w:t>
      </w:r>
      <w:r w:rsidRPr="00A85C84">
        <w:rPr>
          <w:rFonts w:ascii="Georgia" w:hAnsi="Georgia" w:cs="Times New Roman"/>
          <w:sz w:val="20"/>
          <w:szCs w:val="20"/>
        </w:rPr>
        <w:t xml:space="preserve">GLASS gathers data on selected bacteria of international concern (Acinetobacter spp., Escherichia coli, Klebsiella pneumoniae, Neisseria gonorrhoeae, Salmonella spp., Shigella spp., Staphylococcus aureus, and Streptococcus pneumoniae). With the exception of Streptococcus Pneumonia, EpiWATCH has captured reports in all the WHOs “selected bacteria” categories as well as Campylobacter and Meningococci. </w:t>
      </w:r>
      <w:r w:rsidRPr="00A85C84">
        <w:rPr>
          <w:rFonts w:ascii="Georgia" w:hAnsi="Georgia" w:cs="Times New Roman"/>
          <w:iCs/>
          <w:color w:val="0D0D0D" w:themeColor="text1" w:themeTint="F2"/>
          <w:sz w:val="20"/>
          <w:szCs w:val="20"/>
        </w:rPr>
        <w:t>Campylobacter is listed as a priority pathogen in the WHO, but the GLASS report contains no surveillance data on campylobacter.</w:t>
      </w:r>
    </w:p>
    <w:p w14:paraId="261FC153" w14:textId="77777777" w:rsidR="00137026" w:rsidRDefault="00137026" w:rsidP="00137026">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A85C84">
        <w:rPr>
          <w:rFonts w:ascii="Georgia" w:hAnsi="Georgia" w:cs="Times New Roman"/>
          <w:sz w:val="20"/>
          <w:szCs w:val="20"/>
        </w:rPr>
        <w:t xml:space="preserve">In all the regions except American and African regions, E-coli was the most common pathogen from the WHO’s AMR surveillance, 2016 to 2018. In EpiWatch Salmonella Typhi followed by Staphylococcus aureus were the commonly reported drug resistant pathogens. EpiWATCH was consistent with GLASS in capturing Salmonella from the American region and Klebsiella from the African region as causing maximum resistance burden (Appendix A, figure 5 &amp; 6 ). </w:t>
      </w:r>
      <w:bookmarkStart w:id="2" w:name="_Hlk39663989"/>
      <w:r w:rsidRPr="00A85C84">
        <w:rPr>
          <w:rFonts w:ascii="Georgia" w:hAnsi="Georgia" w:cs="Times New Roman"/>
          <w:sz w:val="20"/>
          <w:szCs w:val="20"/>
        </w:rPr>
        <w:t>Additionally, in both GLASS and EpiWATCH, majority of the resistant infections reported were caused by the gram-negative bacilli.</w:t>
      </w:r>
      <w:bookmarkEnd w:id="2"/>
    </w:p>
    <w:p w14:paraId="0C3766B8" w14:textId="7E01DE51" w:rsidR="00A85C84" w:rsidRPr="00137026" w:rsidRDefault="00137026" w:rsidP="00A85C84">
      <w:pPr>
        <w:spacing w:after="0" w:line="240" w:lineRule="auto"/>
        <w:jc w:val="both"/>
        <w:rPr>
          <w:rFonts w:ascii="Georgia" w:hAnsi="Georgia" w:cs="Times New Roman"/>
          <w:color w:val="000000" w:themeColor="text1"/>
          <w:sz w:val="20"/>
          <w:szCs w:val="20"/>
          <w:bdr w:val="none" w:sz="0" w:space="0" w:color="auto" w:frame="1"/>
          <w:lang w:val="en-GB"/>
        </w:rPr>
      </w:pPr>
      <w:r>
        <w:rPr>
          <w:rFonts w:ascii="Georgia" w:hAnsi="Georgia" w:cs="Times New Roman"/>
          <w:color w:val="000000" w:themeColor="text1"/>
          <w:sz w:val="20"/>
          <w:szCs w:val="20"/>
          <w:bdr w:val="none" w:sz="0" w:space="0" w:color="auto" w:frame="1"/>
          <w:lang w:val="en-GB"/>
        </w:rPr>
        <w:t xml:space="preserve">    </w:t>
      </w:r>
      <w:r w:rsidRPr="00A85C84">
        <w:rPr>
          <w:rFonts w:ascii="Georgia" w:hAnsi="Georgia" w:cs="Times New Roman"/>
          <w:color w:val="000000" w:themeColor="text1"/>
          <w:sz w:val="20"/>
          <w:szCs w:val="20"/>
          <w:bdr w:val="none" w:sz="0" w:space="0" w:color="auto" w:frame="1"/>
          <w:lang w:val="en-GB"/>
        </w:rPr>
        <w:t xml:space="preserve">Corresponding to EpiWATCH data, there was predominance of pathogenic resistance towards the cell wall inhibitor class of antibiotics in GLASS and none of the Staphylococcus isolates from the world were more than 75% resistant to antibiotics, highlighting that gram-positive cocci infections were not as lethal as the gram-negative bacilli infections. This result is consistent with the EpiWATCH findings.  </w:t>
      </w:r>
    </w:p>
    <w:p w14:paraId="4D8BB7A2" w14:textId="77777777" w:rsidR="00A85C84" w:rsidRDefault="00A85C84" w:rsidP="00A85C84">
      <w:pPr>
        <w:spacing w:after="0" w:line="240" w:lineRule="auto"/>
        <w:jc w:val="both"/>
        <w:rPr>
          <w:rFonts w:ascii="Georgia" w:hAnsi="Georgia" w:cs="Times New Roman"/>
          <w:sz w:val="20"/>
          <w:szCs w:val="20"/>
        </w:rPr>
        <w:sectPr w:rsidR="00A85C84" w:rsidSect="00A85C84">
          <w:type w:val="continuous"/>
          <w:pgSz w:w="11906" w:h="16838"/>
          <w:pgMar w:top="1418" w:right="849" w:bottom="1560" w:left="851" w:header="426" w:footer="708" w:gutter="0"/>
          <w:cols w:num="2" w:space="284"/>
          <w:docGrid w:linePitch="360"/>
        </w:sectPr>
      </w:pPr>
    </w:p>
    <w:p w14:paraId="16E8FB66" w14:textId="1A45BA01" w:rsidR="00A85C84" w:rsidRDefault="00A85C84" w:rsidP="00A85C84">
      <w:pPr>
        <w:spacing w:after="0" w:line="240" w:lineRule="auto"/>
        <w:jc w:val="both"/>
        <w:rPr>
          <w:rFonts w:ascii="Georgia" w:hAnsi="Georgia" w:cs="Times New Roman"/>
          <w:sz w:val="20"/>
          <w:szCs w:val="20"/>
        </w:rPr>
      </w:pPr>
    </w:p>
    <w:p w14:paraId="757F1013" w14:textId="77777777" w:rsidR="00A85C84" w:rsidRDefault="00A85C84" w:rsidP="00A85C84">
      <w:pPr>
        <w:rPr>
          <w:rFonts w:ascii="Times New Roman" w:hAnsi="Times New Roman" w:cs="Times New Roman"/>
          <w:b/>
          <w:bCs/>
        </w:rPr>
        <w:sectPr w:rsidR="00A85C84" w:rsidSect="00A85C84">
          <w:type w:val="continuous"/>
          <w:pgSz w:w="11906" w:h="16838"/>
          <w:pgMar w:top="1418" w:right="849" w:bottom="1560" w:left="851" w:header="426" w:footer="708" w:gutter="0"/>
          <w:cols w:num="2" w:space="284"/>
          <w:docGrid w:linePitch="360"/>
        </w:sectPr>
      </w:pPr>
    </w:p>
    <w:p w14:paraId="7F0A43B5" w14:textId="77777777" w:rsidR="00A85C84" w:rsidRDefault="00A85C84" w:rsidP="00A85C84">
      <w:pPr>
        <w:spacing w:after="0" w:line="240" w:lineRule="auto"/>
        <w:jc w:val="center"/>
        <w:rPr>
          <w:rFonts w:ascii="Georgia" w:hAnsi="Georgia" w:cs="Times New Roman"/>
          <w:b/>
          <w:bCs/>
          <w:sz w:val="20"/>
          <w:szCs w:val="20"/>
        </w:rPr>
      </w:pPr>
    </w:p>
    <w:p w14:paraId="45DC2DC0" w14:textId="00AE211E" w:rsidR="00A85C84" w:rsidRDefault="00A85C84" w:rsidP="00CD3760">
      <w:pPr>
        <w:spacing w:after="0" w:line="240" w:lineRule="auto"/>
        <w:jc w:val="center"/>
        <w:rPr>
          <w:rFonts w:ascii="Georgia" w:hAnsi="Georgia" w:cs="Times New Roman"/>
          <w:sz w:val="20"/>
          <w:szCs w:val="20"/>
        </w:rPr>
        <w:sectPr w:rsidR="00A85C84" w:rsidSect="00A85C84">
          <w:type w:val="continuous"/>
          <w:pgSz w:w="11906" w:h="16838"/>
          <w:pgMar w:top="1418" w:right="849" w:bottom="1560" w:left="851" w:header="426" w:footer="708" w:gutter="0"/>
          <w:cols w:space="284"/>
          <w:docGrid w:linePitch="360"/>
        </w:sectPr>
      </w:pPr>
      <w:r w:rsidRPr="00A85C84">
        <w:rPr>
          <w:rFonts w:ascii="Georgia" w:hAnsi="Georgia" w:cs="Times New Roman"/>
          <w:b/>
          <w:bCs/>
          <w:sz w:val="20"/>
          <w:szCs w:val="20"/>
        </w:rPr>
        <w:t xml:space="preserve">Figure 3. </w:t>
      </w:r>
      <w:r w:rsidRPr="00A85C84">
        <w:rPr>
          <w:rFonts w:ascii="Georgia" w:hAnsi="Georgia" w:cs="Times New Roman"/>
          <w:sz w:val="20"/>
          <w:szCs w:val="20"/>
        </w:rPr>
        <w:t>Pattern of pathogen resistance to antimicrobial drugs from EpiWATCH data</w:t>
      </w:r>
    </w:p>
    <w:p w14:paraId="7FFD76B3" w14:textId="26989015" w:rsidR="00A85C84" w:rsidRPr="00A85C84" w:rsidRDefault="00A85C84" w:rsidP="00A85C84">
      <w:pPr>
        <w:spacing w:after="0" w:line="240" w:lineRule="auto"/>
        <w:jc w:val="both"/>
        <w:rPr>
          <w:rFonts w:ascii="Georgia" w:hAnsi="Georgia" w:cs="Times New Roman"/>
          <w:sz w:val="20"/>
          <w:szCs w:val="20"/>
        </w:rPr>
      </w:pPr>
    </w:p>
    <w:p w14:paraId="3FA9C7A3" w14:textId="77777777" w:rsidR="00A85C84" w:rsidRDefault="00A85C84" w:rsidP="00A85C84">
      <w:pPr>
        <w:spacing w:after="0" w:line="240" w:lineRule="auto"/>
        <w:jc w:val="both"/>
        <w:rPr>
          <w:rFonts w:ascii="Georgia" w:hAnsi="Georgia" w:cs="Times New Roman"/>
          <w:sz w:val="20"/>
          <w:szCs w:val="20"/>
        </w:rPr>
      </w:pPr>
    </w:p>
    <w:p w14:paraId="099E2E77" w14:textId="77777777" w:rsidR="00A85C84" w:rsidRDefault="00A85C84" w:rsidP="00A85C84">
      <w:pPr>
        <w:spacing w:after="0" w:line="240" w:lineRule="auto"/>
        <w:jc w:val="both"/>
        <w:rPr>
          <w:rFonts w:ascii="Georgia" w:hAnsi="Georgia" w:cs="Times New Roman"/>
          <w:sz w:val="20"/>
          <w:szCs w:val="20"/>
        </w:rPr>
        <w:sectPr w:rsidR="00A85C84" w:rsidSect="00A85C84">
          <w:type w:val="continuous"/>
          <w:pgSz w:w="11906" w:h="16838"/>
          <w:pgMar w:top="1418" w:right="849" w:bottom="1560" w:left="851" w:header="426" w:footer="708" w:gutter="0"/>
          <w:cols w:num="2" w:space="284"/>
          <w:docGrid w:linePitch="360"/>
        </w:sectPr>
      </w:pPr>
    </w:p>
    <w:p w14:paraId="17E90974" w14:textId="6C26EE01" w:rsidR="00A85C84" w:rsidRDefault="00CD3760" w:rsidP="00A85C84">
      <w:pPr>
        <w:spacing w:after="0" w:line="240" w:lineRule="auto"/>
        <w:jc w:val="both"/>
        <w:rPr>
          <w:rFonts w:ascii="Georgia" w:hAnsi="Georgia" w:cs="Times New Roman"/>
          <w:sz w:val="20"/>
          <w:szCs w:val="20"/>
        </w:rPr>
      </w:pPr>
      <w:r>
        <w:rPr>
          <w:noProof/>
          <w:lang w:val="en-US"/>
        </w:rPr>
        <w:drawing>
          <wp:inline distT="0" distB="0" distL="0" distR="0" wp14:anchorId="2C857B39" wp14:editId="19CC584D">
            <wp:extent cx="6438900" cy="4813300"/>
            <wp:effectExtent l="0" t="0" r="12700" b="12700"/>
            <wp:docPr id="7" name="Chart 7">
              <a:extLst xmlns:a="http://schemas.openxmlformats.org/drawingml/2006/main">
                <a:ext uri="{FF2B5EF4-FFF2-40B4-BE49-F238E27FC236}">
                  <a16:creationId xmlns:a16="http://schemas.microsoft.com/office/drawing/2014/main" id="{D01BFC4F-8DBD-4920-BEDF-FEC4924ED8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200AC9" w14:textId="004AC892" w:rsidR="00A85C84" w:rsidRDefault="00A85C84" w:rsidP="00A85C84">
      <w:pPr>
        <w:spacing w:after="0" w:line="240" w:lineRule="auto"/>
        <w:jc w:val="both"/>
        <w:rPr>
          <w:rFonts w:ascii="Georgia" w:hAnsi="Georgia" w:cs="Times New Roman"/>
          <w:sz w:val="20"/>
          <w:szCs w:val="20"/>
        </w:rPr>
      </w:pPr>
    </w:p>
    <w:p w14:paraId="272C99AF" w14:textId="77777777" w:rsidR="00A85C84" w:rsidRDefault="00A85C84" w:rsidP="00A85C84">
      <w:pPr>
        <w:spacing w:after="0" w:line="240" w:lineRule="auto"/>
        <w:jc w:val="both"/>
        <w:rPr>
          <w:rFonts w:ascii="Georgia" w:hAnsi="Georgia" w:cs="Times New Roman"/>
          <w:sz w:val="20"/>
          <w:szCs w:val="20"/>
        </w:rPr>
        <w:sectPr w:rsidR="00A85C84" w:rsidSect="00A85C84">
          <w:type w:val="continuous"/>
          <w:pgSz w:w="11906" w:h="16838"/>
          <w:pgMar w:top="1418" w:right="849" w:bottom="1560" w:left="851" w:header="426" w:footer="708" w:gutter="0"/>
          <w:cols w:space="284"/>
          <w:docGrid w:linePitch="360"/>
        </w:sectPr>
      </w:pPr>
    </w:p>
    <w:p w14:paraId="58C186BF" w14:textId="77777777" w:rsidR="00E04848" w:rsidRDefault="00E04848" w:rsidP="00A85C84">
      <w:pPr>
        <w:spacing w:after="0" w:line="240" w:lineRule="auto"/>
        <w:jc w:val="center"/>
        <w:rPr>
          <w:rFonts w:ascii="Georgia" w:hAnsi="Georgia" w:cs="Times New Roman"/>
          <w:b/>
          <w:bCs/>
          <w:sz w:val="20"/>
          <w:szCs w:val="20"/>
        </w:rPr>
      </w:pPr>
    </w:p>
    <w:p w14:paraId="27430542" w14:textId="73492947" w:rsidR="00A85C84" w:rsidRPr="00A85C84" w:rsidRDefault="00A85C84" w:rsidP="00A85C84">
      <w:pPr>
        <w:spacing w:after="0" w:line="240" w:lineRule="auto"/>
        <w:jc w:val="center"/>
        <w:rPr>
          <w:rFonts w:ascii="Georgia" w:hAnsi="Georgia" w:cs="Times New Roman"/>
          <w:sz w:val="20"/>
          <w:szCs w:val="20"/>
        </w:rPr>
      </w:pPr>
      <w:r w:rsidRPr="00A85C84">
        <w:rPr>
          <w:rFonts w:ascii="Georgia" w:hAnsi="Georgia" w:cs="Times New Roman"/>
          <w:b/>
          <w:bCs/>
          <w:sz w:val="20"/>
          <w:szCs w:val="20"/>
        </w:rPr>
        <w:lastRenderedPageBreak/>
        <w:t>Figure 4.</w:t>
      </w:r>
      <w:r>
        <w:rPr>
          <w:rFonts w:ascii="Georgia" w:hAnsi="Georgia" w:cs="Times New Roman"/>
          <w:sz w:val="20"/>
          <w:szCs w:val="20"/>
        </w:rPr>
        <w:t xml:space="preserve"> </w:t>
      </w:r>
      <w:r w:rsidRPr="00A85C84">
        <w:rPr>
          <w:rFonts w:ascii="Georgia" w:hAnsi="Georgia" w:cs="Times New Roman"/>
          <w:sz w:val="20"/>
          <w:szCs w:val="20"/>
        </w:rPr>
        <w:t>Proportion and distribution of resistance to antibacterial agents according to bacterial morphology and gram strain</w:t>
      </w:r>
    </w:p>
    <w:p w14:paraId="66879BAE" w14:textId="77777777" w:rsidR="00A85C84" w:rsidRDefault="00A85C84" w:rsidP="00A85C84">
      <w:pPr>
        <w:spacing w:after="0" w:line="240" w:lineRule="auto"/>
        <w:jc w:val="center"/>
        <w:rPr>
          <w:rFonts w:ascii="Georgia" w:hAnsi="Georgia" w:cs="Times New Roman"/>
          <w:sz w:val="20"/>
          <w:szCs w:val="20"/>
        </w:rPr>
      </w:pPr>
    </w:p>
    <w:p w14:paraId="2BD9EAE9" w14:textId="128A636D" w:rsidR="00A85C84" w:rsidRDefault="00A85C84" w:rsidP="00A85C84">
      <w:pPr>
        <w:spacing w:after="0" w:line="240" w:lineRule="auto"/>
        <w:jc w:val="center"/>
        <w:rPr>
          <w:rFonts w:ascii="Georgia" w:hAnsi="Georgia" w:cs="Times New Roman"/>
          <w:sz w:val="20"/>
          <w:szCs w:val="20"/>
        </w:rPr>
        <w:sectPr w:rsidR="00A85C84" w:rsidSect="00A85C84">
          <w:type w:val="continuous"/>
          <w:pgSz w:w="11906" w:h="16838"/>
          <w:pgMar w:top="1418" w:right="849" w:bottom="1560" w:left="851" w:header="426" w:footer="708" w:gutter="0"/>
          <w:cols w:space="284"/>
          <w:docGrid w:linePitch="360"/>
        </w:sectPr>
      </w:pPr>
      <w:r>
        <w:rPr>
          <w:noProof/>
          <w:lang w:val="en-US"/>
        </w:rPr>
        <w:drawing>
          <wp:inline distT="0" distB="0" distL="0" distR="0" wp14:anchorId="621500E5" wp14:editId="2299A6F6">
            <wp:extent cx="5836920" cy="3855720"/>
            <wp:effectExtent l="0" t="0" r="17780" b="17780"/>
            <wp:docPr id="9" name="Chart 9">
              <a:extLst xmlns:a="http://schemas.openxmlformats.org/drawingml/2006/main">
                <a:ext uri="{FF2B5EF4-FFF2-40B4-BE49-F238E27FC236}">
                  <a16:creationId xmlns:a16="http://schemas.microsoft.com/office/drawing/2014/main" id="{9BE8265D-C1D5-41A5-BEEB-9652478CDD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FFD2CC7" w14:textId="27275AFA" w:rsidR="00A85C84" w:rsidRDefault="00A85C84" w:rsidP="00A85C84">
      <w:pPr>
        <w:spacing w:after="0" w:line="240" w:lineRule="auto"/>
        <w:jc w:val="center"/>
        <w:rPr>
          <w:rFonts w:ascii="Georgia" w:hAnsi="Georgia" w:cs="Times New Roman"/>
          <w:sz w:val="20"/>
          <w:szCs w:val="20"/>
        </w:rPr>
      </w:pPr>
    </w:p>
    <w:p w14:paraId="5E0FB5DC" w14:textId="1BC0A6C5" w:rsidR="00A85C84" w:rsidRDefault="00A85C84" w:rsidP="00A85C84">
      <w:pPr>
        <w:spacing w:after="0" w:line="240" w:lineRule="auto"/>
        <w:jc w:val="both"/>
        <w:rPr>
          <w:rFonts w:ascii="Georgia" w:hAnsi="Georgia" w:cs="Times New Roman"/>
          <w:sz w:val="20"/>
          <w:szCs w:val="20"/>
        </w:rPr>
      </w:pPr>
    </w:p>
    <w:p w14:paraId="5F0D5436" w14:textId="77777777" w:rsidR="00A85C84" w:rsidRDefault="00A85C84" w:rsidP="00A85C84">
      <w:pPr>
        <w:spacing w:after="0" w:line="240" w:lineRule="auto"/>
        <w:jc w:val="both"/>
        <w:rPr>
          <w:rFonts w:ascii="Georgia" w:hAnsi="Georgia" w:cs="Times New Roman"/>
          <w:sz w:val="20"/>
          <w:szCs w:val="20"/>
        </w:rPr>
        <w:sectPr w:rsidR="00A85C84" w:rsidSect="00A85C84">
          <w:type w:val="continuous"/>
          <w:pgSz w:w="11906" w:h="16838"/>
          <w:pgMar w:top="1418" w:right="849" w:bottom="1560" w:left="851" w:header="426" w:footer="708" w:gutter="0"/>
          <w:cols w:num="2" w:space="284"/>
          <w:docGrid w:linePitch="360"/>
        </w:sectPr>
      </w:pPr>
    </w:p>
    <w:p w14:paraId="1CFD13A4" w14:textId="0BA6FD31" w:rsidR="00A85C84" w:rsidRDefault="00A85C84" w:rsidP="00A85C84">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Discussion</w:t>
      </w:r>
    </w:p>
    <w:p w14:paraId="7DA78D16" w14:textId="746DCEE8" w:rsidR="00B14A3B" w:rsidRPr="00B14A3B" w:rsidRDefault="00B14A3B" w:rsidP="00B14A3B">
      <w:pPr>
        <w:spacing w:after="0" w:line="240" w:lineRule="auto"/>
        <w:jc w:val="both"/>
        <w:rPr>
          <w:rFonts w:ascii="Georgia" w:hAnsi="Georgia" w:cs="Times New Roman"/>
          <w:color w:val="333333"/>
          <w:sz w:val="20"/>
          <w:szCs w:val="20"/>
          <w:shd w:val="clear" w:color="auto" w:fill="FFFFFF"/>
        </w:rPr>
      </w:pPr>
      <w:r>
        <w:rPr>
          <w:rFonts w:ascii="Georgia" w:hAnsi="Georgia" w:cs="Times New Roman"/>
          <w:sz w:val="20"/>
          <w:szCs w:val="20"/>
        </w:rPr>
        <w:t xml:space="preserve">    </w:t>
      </w:r>
      <w:r w:rsidRPr="00B14A3B">
        <w:rPr>
          <w:rFonts w:ascii="Georgia" w:hAnsi="Georgia" w:cs="Times New Roman"/>
          <w:sz w:val="20"/>
          <w:szCs w:val="20"/>
        </w:rPr>
        <w:t xml:space="preserve">EpiWATCH provided AMR data from open source reports from 14 countries. Information on AMR collected in the study is not validated or complete, but provides an overview of AMR globally, including on pathogens not reported in GLASS. EpiWATCH identified medically important gram-negative and gram-positive bacteria along with other pathogens that have caused outbreaks and needed to be looked out for in health centres and communities. </w:t>
      </w:r>
    </w:p>
    <w:p w14:paraId="4F9C33D4" w14:textId="77777777" w:rsidR="00B14A3B" w:rsidRDefault="00B14A3B" w:rsidP="00B14A3B">
      <w:pPr>
        <w:spacing w:after="0" w:line="240" w:lineRule="auto"/>
        <w:jc w:val="both"/>
        <w:rPr>
          <w:rFonts w:ascii="Georgia" w:hAnsi="Georgia" w:cs="Times New Roman"/>
          <w:color w:val="000000"/>
          <w:sz w:val="20"/>
          <w:szCs w:val="20"/>
          <w:shd w:val="clear" w:color="auto" w:fill="FFFFFF"/>
        </w:rPr>
        <w:sectPr w:rsidR="00B14A3B" w:rsidSect="00A85C84">
          <w:type w:val="continuous"/>
          <w:pgSz w:w="11906" w:h="16838"/>
          <w:pgMar w:top="1418" w:right="849" w:bottom="1560" w:left="851" w:header="426" w:footer="708" w:gutter="0"/>
          <w:cols w:num="2" w:space="284"/>
          <w:docGrid w:linePitch="360"/>
        </w:sectPr>
      </w:pPr>
      <w:r>
        <w:rPr>
          <w:rFonts w:ascii="Georgia" w:hAnsi="Georgia" w:cs="Times New Roman"/>
          <w:color w:val="000000"/>
          <w:sz w:val="20"/>
          <w:szCs w:val="20"/>
          <w:shd w:val="clear" w:color="auto" w:fill="FFFFFF"/>
        </w:rPr>
        <w:t xml:space="preserve">    </w:t>
      </w:r>
      <w:r w:rsidRPr="00B14A3B">
        <w:rPr>
          <w:rFonts w:ascii="Georgia" w:hAnsi="Georgia" w:cs="Times New Roman"/>
          <w:color w:val="000000"/>
          <w:sz w:val="20"/>
          <w:szCs w:val="20"/>
          <w:shd w:val="clear" w:color="auto" w:fill="FFFFFF"/>
        </w:rPr>
        <w:t xml:space="preserve">All VRE cases were reported from hospital wards. The ability of MRSA and VRE to spread from hospital </w:t>
      </w:r>
      <w:r w:rsidRPr="00B14A3B">
        <w:rPr>
          <w:rFonts w:ascii="Georgia" w:hAnsi="Georgia" w:cs="Times New Roman"/>
          <w:color w:val="000000"/>
          <w:sz w:val="20"/>
          <w:szCs w:val="20"/>
          <w:shd w:val="clear" w:color="auto" w:fill="FFFFFF"/>
        </w:rPr>
        <w:t>environment to the patients as well as from other infected or colonised patients/ health care workers</w:t>
      </w:r>
      <w:bookmarkStart w:id="3" w:name="_Hlk39670546"/>
      <w:r w:rsidRPr="00B14A3B">
        <w:rPr>
          <w:rFonts w:ascii="Georgia" w:hAnsi="Georgia" w:cs="Times New Roman"/>
          <w:sz w:val="20"/>
          <w:szCs w:val="20"/>
        </w:rPr>
        <w:t xml:space="preserve">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&lt;EndNote&gt;&lt;Cite&gt;&lt;Author&gt;Karki&lt;/Author&gt;&lt;Year&gt;2015&lt;/Year&gt;&lt;RecNum&gt;579&lt;/RecNum&gt;&lt;DisplayText&gt;(14, 15)&lt;/DisplayText&gt;&lt;record&gt;&lt;rec-number&gt;579&lt;/rec-number&gt;&lt;foreign-keys&gt;&lt;key app="EN" db-id="zxvt9psxt9rdw9e9rf555s2jpswv95p5wppv" timestamp="1587344124" guid="0eff0202-0b8b-4ebd-ac1b-fcb4c6597e64"&gt;579&lt;/key&gt;&lt;/foreign-keys&gt;&lt;ref-type name="Journal Article"&gt;17&lt;/ref-type&gt;&lt;contributors&gt;&lt;authors&gt;&lt;author&gt;Karki, Surendra&lt;/author&gt;&lt;author&gt;Leder, Karin&lt;/author&gt;&lt;author&gt;Cheng, Allen C&lt;/author&gt;&lt;/authors&gt;&lt;/contributors&gt;&lt;titles&gt;&lt;title&gt;Should we continue to isolate patients with vancomycin-resistant enterococci in hospitals&lt;/title&gt;&lt;secondary-title&gt;Med J Aust&lt;/secondary-title&gt;&lt;/titles&gt;&lt;periodical&gt;&lt;full-title&gt;Med J Aust&lt;/full-title&gt;&lt;/periodical&gt;&lt;pages&gt;234-6&lt;/pages&gt;&lt;volume&gt;202&lt;/volume&gt;&lt;number&gt;5&lt;/number&gt;&lt;dates&gt;&lt;year&gt;2015&lt;/year&gt;&lt;/dates&gt;&lt;urls&gt;&lt;/urls&gt;&lt;/record&gt;&lt;/Cite&gt;&lt;Cite&gt;&lt;Author&gt;Huang&lt;/Author&gt;&lt;Year&gt;2019&lt;/Year&gt;&lt;RecNum&gt;578&lt;/RecNum&gt;&lt;record&gt;&lt;rec-number&gt;578&lt;/rec-number&gt;&lt;foreign-keys&gt;&lt;key app="EN" db-id="zxvt9psxt9rdw9e9rf555s2jpswv95p5wppv" timestamp="1587340487" guid="5730bbc9-f9ae-467f-b773-28a6f69fedb8"&gt;578&lt;/key&gt;&lt;/foreign-keys&gt;&lt;ref-type name="Journal Article"&gt;17&lt;/ref-type&gt;&lt;contributors&gt;&lt;authors&gt;&lt;author&gt;Huang, Huiping&lt;/author&gt;&lt;author&gt;Ran, Jing&lt;/author&gt;&lt;author&gt;Yang, Jianzhou&lt;/author&gt;&lt;author&gt;Li, Peng&lt;/author&gt;&lt;author&gt;Zhuang, Guihua&lt;/author&gt;&lt;/authors&gt;&lt;/contributors&gt;&lt;titles&gt;&lt;title&gt;Impact of MRSA Transmission and Infection in a Neonatal Intensive Care Unit in China: A Bundle Intervention Study during 2014-2017&lt;/title&gt;&lt;secondary-title&gt;BioMed research international&lt;/secondary-title&gt;&lt;/titles&gt;&lt;periodical&gt;&lt;full-title&gt;BioMed research international&lt;/full-title&gt;&lt;/periodical&gt;&lt;volume&gt;2019&lt;/volume&gt;&lt;dates&gt;&lt;year&gt;2019&lt;/year&gt;&lt;/dates&gt;&lt;isbn&gt;2314-6133&lt;/isbn&gt;&lt;urls&gt;&lt;/urls&gt;&lt;/record&gt;&lt;/Cite&gt;&lt;/EndNote&gt;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(14, 15)</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coupled with immature immunologic functions in neonates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&lt;EndNote&gt;&lt;Cite&gt;&lt;Author&gt;Huang&lt;/Author&gt;&lt;Year&gt;2019&lt;/Year&gt;&lt;RecNum&gt;578&lt;/RecNum&gt;&lt;DisplayText&gt;(15)&lt;/DisplayText&gt;&lt;record&gt;&lt;rec-number&gt;578&lt;/rec-number&gt;&lt;foreign-keys&gt;&lt;key app="EN" db-id="zxvt9psxt9rdw9e9rf555s2jpswv95p5wppv" timestamp="1587340487" guid="5730bbc9-f9ae-467f-b773-28a6f69fedb8"&gt;578&lt;/key&gt;&lt;/foreign-keys&gt;&lt;ref-type name="Journal Article"&gt;17&lt;/ref-type&gt;&lt;contributors&gt;&lt;authors&gt;&lt;author&gt;Huang, Huiping&lt;/author&gt;&lt;author&gt;Ran, Jing&lt;/author&gt;&lt;author&gt;Yang, Jianzhou&lt;/author&gt;&lt;author&gt;Li, Peng&lt;/author&gt;&lt;author&gt;Zhuang, Guihua&lt;/author&gt;&lt;/authors&gt;&lt;/contributors&gt;&lt;titles&gt;&lt;title&gt;Impact of MRSA Transmission and Infection in a Neonatal Intensive Care Unit in China: A Bundle Intervention Study during 2014-2017&lt;/title&gt;&lt;secondary-title&gt;BioMed research international&lt;/secondary-title&gt;&lt;/titles&gt;&lt;periodical&gt;&lt;full-title&gt;BioMed research international&lt;/full-title&gt;&lt;/periodical&gt;&lt;volume&gt;2019&lt;/volume&gt;&lt;dates&gt;&lt;year&gt;2019&lt;/year&gt;&lt;/dates&gt;&lt;isbn&gt;2314-6133&lt;/isbn&gt;&lt;urls&gt;&lt;/urls&gt;&lt;/record&gt;&lt;/Cite&gt;&lt;/EndNote&gt;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(15)</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explains the frequent outbreaks in neonat</w:t>
      </w:r>
      <w:bookmarkEnd w:id="3"/>
      <w:r w:rsidRPr="00B14A3B">
        <w:rPr>
          <w:rFonts w:ascii="Georgia" w:hAnsi="Georgia" w:cs="Times New Roman"/>
          <w:color w:val="000000"/>
          <w:sz w:val="20"/>
          <w:szCs w:val="20"/>
          <w:shd w:val="clear" w:color="auto" w:fill="FFFFFF"/>
        </w:rPr>
        <w:t xml:space="preserve">al wards. Crowded schools and universities might create an environment to facilitate the spread of MRSA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&lt;EndNote&gt;&lt;Cite&gt;&lt;Author&gt;Lin&lt;/Author&gt;&lt;Year&gt;2018&lt;/Year&gt;&lt;RecNum&gt;577&lt;/RecNum&gt;&lt;DisplayText&gt;(16)&lt;/DisplayText&gt;&lt;record&gt;&lt;rec-number&gt;577&lt;/rec-number&gt;&lt;foreign-keys&gt;&lt;key app="EN" db-id="zxvt9psxt9rdw9e9rf555s2jpswv95p5wppv" timestamp="1587339525" guid="0e691545-a369-496d-a560-a854214aa99b"&gt;577&lt;/key&gt;&lt;/foreign-keys&gt;&lt;ref-type name="Journal Article"&gt;17&lt;/ref-type&gt;&lt;contributors&gt;&lt;authors&gt;&lt;author&gt;Lin, Jialing&lt;/author&gt;&lt;author&gt;Liang, Jianping&lt;/author&gt;&lt;author&gt;Zhang, Ting&lt;/author&gt;&lt;author&gt;Bai, Chan&lt;/author&gt;&lt;author&gt;Ye, Jiaping&lt;/author&gt;&lt;author&gt;Yao, Zhenjiang&lt;/author&gt;&lt;/authors&gt;&lt;/contributors&gt;&lt;titles&gt;&lt;title&gt;Dose-response associations of methicillin-resistant Staphylococcus aureus between school environmental contamination and nasal carriage by elementary students&lt;/title&gt;&lt;secondary-title&gt;Infection and drug resistance&lt;/secondary-title&gt;&lt;/titles&gt;&lt;periodical&gt;&lt;full-title&gt;Infection and drug resistance&lt;/full-title&gt;&lt;/periodical&gt;&lt;pages&gt;773&lt;/pages&gt;&lt;volume&gt;11&lt;/volume&gt;&lt;dates&gt;&lt;year&gt;2018&lt;/year&gt;&lt;/dates&gt;&lt;urls&gt;&lt;/urls&gt;&lt;/record&gt;&lt;/Cite&gt;&lt;/EndNote&gt;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(16)</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MRSA was the predominant pathogen causing nosocomial and community transmissions in the US, England and Australia. Schools were an at-risk location in the community for MRSA transmission and in the hospitals, infants were at risk in neonatal wards. In addition, the data suggested sporting events at school </w:t>
      </w:r>
    </w:p>
    <w:p w14:paraId="69758793" w14:textId="7D80C1EA" w:rsidR="00B14A3B" w:rsidRDefault="00B14A3B" w:rsidP="00B14A3B">
      <w:pPr>
        <w:spacing w:after="0" w:line="240" w:lineRule="auto"/>
        <w:jc w:val="both"/>
        <w:rPr>
          <w:rFonts w:ascii="Georgia" w:hAnsi="Georgia" w:cs="Times New Roman"/>
          <w:color w:val="000000"/>
          <w:sz w:val="20"/>
          <w:szCs w:val="20"/>
          <w:shd w:val="clear" w:color="auto" w:fill="FFFFFF"/>
        </w:rPr>
      </w:pPr>
      <w:r w:rsidRPr="00B14A3B">
        <w:rPr>
          <w:rFonts w:ascii="Georgia" w:hAnsi="Georgia" w:cs="Times New Roman"/>
          <w:color w:val="000000"/>
          <w:sz w:val="20"/>
          <w:szCs w:val="20"/>
          <w:shd w:val="clear" w:color="auto" w:fill="FFFFFF"/>
        </w:rPr>
        <w:t xml:space="preserve">and universities were a risk factor for MRSA transmission. Also, from the US, there were MRSA cases among police coming in contact with homeless people. It indicates that poverty is also a determinant for community-acquired MRSA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&lt;EndNote&gt;&lt;Cite&gt;&lt;Author&gt;Dubey&lt;/Author&gt;&lt;Year&gt;2013&lt;/Year&gt;&lt;RecNum&gt;580&lt;/RecNum&gt;&lt;DisplayText&gt;(17)&lt;/DisplayText&gt;&lt;record&gt;&lt;rec-number&gt;580&lt;/rec-number&gt;&lt;foreign-keys&gt;&lt;key app="EN" db-id="zxvt9psxt9rdw9e9rf555s2jpswv95p5wppv" timestamp="1587344939" guid="e2377cf4-b851-444e-a86f-e2f4bfe1d8da"&gt;580&lt;/key&gt;&lt;/foreign-keys&gt;&lt;ref-type name="Journal Article"&gt;17&lt;/ref-type&gt;&lt;contributors&gt;&lt;authors&gt;&lt;author&gt;Dubey, Debasmita&lt;/author&gt;&lt;author&gt;Rath, Shakti&lt;/author&gt;&lt;author&gt;Sahu, Mahesh C&lt;/author&gt;&lt;author&gt;Pattnaik, Lolly&lt;/author&gt;&lt;author&gt;Debata, Nagen K&lt;/author&gt;&lt;author&gt;Padhy, Rabindra N&lt;/author&gt;&lt;/authors&gt;&lt;/contributors&gt;&lt;titles&gt;&lt;title&gt;Surveillance of infection status of drug resistant Staphylococcus aureus in an Indian teaching hospital&lt;/title&gt;&lt;secondary-title&gt;Asian Pacific journal of tropical disease&lt;/secondary-title&gt;&lt;/titles&gt;&lt;periodical&gt;&lt;full-title&gt;Asian Pacific journal of tropical disease&lt;/full-title&gt;&lt;/periodical&gt;&lt;pages&gt;133-142&lt;/pages&gt;&lt;volume&gt;3&lt;/volume&gt;&lt;number&gt;2&lt;/number&gt;&lt;dates&gt;&lt;year&gt;2013&lt;/year&gt;&lt;/dates&gt;&lt;isbn&gt;2222-1808&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(17)</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Staphylococcus Aureus isolates designated as MRSA are categorised as MDR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&lt;EndNote&gt;&lt;Cite&gt;&lt;Author&gt;Kaur&lt;/Author&gt;&lt;Year&gt;2015&lt;/Year&gt;&lt;RecNum&gt;575&lt;/RecNum&gt;&lt;DisplayText&gt;(18)&lt;/DisplayText&gt;&lt;record&gt;&lt;rec-number&gt;575&lt;/rec-number&gt;&lt;foreign-keys&gt;&lt;key app="EN" db-id="zxvt9psxt9rdw9e9rf555s2jpswv95p5wppv" timestamp="1587336236" guid="5d9a32c1-25a9-4d45-b8cd-6148fe4af77c"&gt;575&lt;/key&gt;&lt;/foreign-keys&gt;&lt;ref-type name="Journal Article"&gt;17&lt;/ref-type&gt;&lt;contributors&gt;&lt;authors&gt;&lt;author&gt;Kaur, Dardi Charan&lt;/author&gt;&lt;author&gt;Chate, Sadhana Sanjay&lt;/author&gt;&lt;/authors&gt;&lt;/contributors&gt;&lt;titles&gt;&lt;title&gt;Study of antibiotic resistance pattern in methicillin resistant Staphylococcus aureus with special reference to newer antibiotic&lt;/title&gt;&lt;secondary-title&gt;Journal of global infectious diseases&lt;/secondary-title&gt;&lt;/titles&gt;&lt;periodical&gt;&lt;full-title&gt;Journal of global infectious diseases&lt;/full-title&gt;&lt;/periodical&gt;&lt;pages&gt;78&lt;/pages&gt;&lt;volume&gt;7&lt;/volume&gt;&lt;number&gt;2&lt;/number&gt;&lt;dates&gt;&lt;year&gt;2015&lt;/year&gt;&lt;/dates&gt;&lt;urls&gt;&lt;/urls&gt;&lt;/record&gt;&lt;/Cite&gt;&lt;/EndNote&gt;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(18)</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It underscores the threat that could be caused by gram positive bacteria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&lt;EndNote&gt;&lt;Cite&gt;&lt;Author&gt;Finch&lt;/Author&gt;&lt;Year&gt;2006&lt;/Year&gt;&lt;RecNum&gt;576&lt;/RecNum&gt;&lt;DisplayText&gt;(19)&lt;/DisplayText&gt;&lt;record&gt;&lt;rec-number&gt;576&lt;/rec-number&gt;&lt;foreign-keys&gt;&lt;key app="EN" db-id="zxvt9psxt9rdw9e9rf555s2jpswv95p5wppv" timestamp="1587336273" guid="64ea9cbe-471f-42dc-9493-9441eaa1e963"&gt;576&lt;/key&gt;&lt;/foreign-keys&gt;&lt;ref-type name="Journal Article"&gt;17&lt;/ref-type&gt;&lt;contributors&gt;&lt;authors&gt;&lt;author&gt;Finch, R&lt;/author&gt;&lt;/authors&gt;&lt;/contributors&gt;&lt;titles&gt;&lt;title&gt;Gram</w:instrText>
      </w:r>
      <w:r w:rsidRPr="00B14A3B">
        <w:rPr>
          <w:rFonts w:ascii="Cambria Math" w:hAnsi="Cambria Math" w:cs="Cambria Math"/>
          <w:color w:val="000000"/>
          <w:sz w:val="20"/>
          <w:szCs w:val="20"/>
          <w:shd w:val="clear" w:color="auto" w:fill="FFFFFF"/>
        </w:rPr>
        <w:instrText>‐</w:instrText>
      </w:r>
      <w:r w:rsidRPr="00B14A3B">
        <w:rPr>
          <w:rFonts w:ascii="Georgia" w:hAnsi="Georgia" w:cs="Times New Roman"/>
          <w:color w:val="000000"/>
          <w:sz w:val="20"/>
          <w:szCs w:val="20"/>
          <w:shd w:val="clear" w:color="auto" w:fill="FFFFFF"/>
        </w:rPr>
        <w:instrText>positive infections: lessons learnt and novel solutions&lt;/title&gt;&lt;secondary-title&gt;Clinical Microbiology and Infection&lt;/secondary-title&gt;&lt;/titles&gt;&lt;periodical&gt;&lt;full-title&gt;Clinical Microbiology and Infection&lt;/full-title&gt;&lt;/periodical&gt;&lt;pages&gt;3-8&lt;/pages&gt;&lt;volume&gt;12&lt;/volume&gt;&lt;dates&gt;&lt;year&gt;2006&lt;/year&gt;&lt;/dates&gt;&lt;isbn&gt;1198-743X&lt;/isbn&gt;&lt;urls&gt;&lt;/urls&gt;&lt;/record&gt;&lt;/Cite&gt;&lt;/EndNote&gt;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(19)</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w:t>
      </w:r>
    </w:p>
    <w:p w14:paraId="320F44B8" w14:textId="5816AB08" w:rsidR="00B14A3B" w:rsidRPr="00B14A3B" w:rsidRDefault="00B14A3B" w:rsidP="00B14A3B">
      <w:pPr>
        <w:spacing w:after="0" w:line="240" w:lineRule="auto"/>
        <w:jc w:val="both"/>
        <w:rPr>
          <w:rFonts w:ascii="Georgia" w:hAnsi="Georgia" w:cs="Times New Roman"/>
          <w:color w:val="000000"/>
          <w:sz w:val="20"/>
          <w:szCs w:val="20"/>
          <w:shd w:val="clear" w:color="auto" w:fill="FFFFFF"/>
        </w:rPr>
      </w:pPr>
      <w:r>
        <w:rPr>
          <w:rFonts w:ascii="Georgia" w:hAnsi="Georgia" w:cs="Times New Roman"/>
          <w:color w:val="000000"/>
          <w:sz w:val="20"/>
          <w:szCs w:val="20"/>
          <w:shd w:val="clear" w:color="auto" w:fill="FFFFFF"/>
        </w:rPr>
        <w:t xml:space="preserve">    </w:t>
      </w:r>
      <w:r w:rsidRPr="00B14A3B">
        <w:rPr>
          <w:rFonts w:ascii="Georgia" w:hAnsi="Georgia" w:cs="Times New Roman"/>
          <w:color w:val="000000"/>
          <w:sz w:val="20"/>
          <w:szCs w:val="20"/>
          <w:shd w:val="clear" w:color="auto" w:fill="FFFFFF"/>
        </w:rPr>
        <w:t xml:space="preserve">The growing community spread of MRSA is ascribed to the lack of general awareness among the public and inadequate knowledge among health professionals, and also to the persistent and evolving ingenuity towards survival among the pathogenic strains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&lt;EndNote&gt;&lt;Cite&gt;&lt;Author&gt;Dubey&lt;/Author&gt;&lt;Year&gt;2013&lt;/Year&gt;&lt;RecNum&gt;580&lt;/RecNum&gt;&lt;DisplayText&gt;(17)&lt;/DisplayText&gt;&lt;record&gt;&lt;rec-number&gt;580&lt;/rec-number&gt;&lt;foreign-keys&gt;&lt;key app="EN" db-id="zxvt9psxt9rdw9e9rf555s2jpswv95p5wppv" timestamp="1587344939" guid="e2377cf4-b851-444e-a86f-e2f4bfe1d8da"&gt;580&lt;/key&gt;&lt;/foreign-keys&gt;&lt;ref-type name="Journal Article"&gt;17&lt;/ref-type&gt;&lt;contributors&gt;&lt;authors&gt;&lt;author&gt;Dubey, Debasmita&lt;/author&gt;&lt;author&gt;Rath, Shakti&lt;/author&gt;&lt;author&gt;Sahu, Mahesh C&lt;/author&gt;&lt;author&gt;Pattnaik, Lolly&lt;/author&gt;&lt;author&gt;Debata, Nagen K&lt;/author&gt;&lt;author&gt;Padhy, Rabindra N&lt;/author&gt;&lt;/authors&gt;&lt;/contributors&gt;&lt;titles&gt;&lt;title&gt;Surveillance of infection status of drug resistant Staphylococcus aureus in an Indian teaching hospital&lt;/title&gt;&lt;secondary-title&gt;Asian Pacific journal of tropical disease&lt;/secondary-title&gt;&lt;/titles&gt;&lt;periodical&gt;&lt;full-title&gt;Asian Pacific journal of tropical disease&lt;/full-title&gt;&lt;/periodical&gt;&lt;pages&gt;133-142&lt;/pages&gt;&lt;volume&gt;3&lt;/volume&gt;&lt;number&gt;2&lt;/number&gt;&lt;dates&gt;&lt;year&gt;2013&lt;/year&gt;&lt;/dates&gt;&lt;isbn&gt;2222-1808&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(17)</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Hence, building awareness among public and health care workers should be a strategy to reduce the resistance along with environmental decontamination, disinfection of universities and schools, hand hygiene education for </w:t>
      </w:r>
      <w:r w:rsidRPr="00B14A3B">
        <w:rPr>
          <w:rFonts w:ascii="Georgia" w:hAnsi="Georgia" w:cs="Times New Roman"/>
          <w:color w:val="000000"/>
          <w:sz w:val="20"/>
          <w:szCs w:val="20"/>
          <w:shd w:val="clear" w:color="auto" w:fill="FFFFFF"/>
        </w:rPr>
        <w:t xml:space="preserve">students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&lt;EndNote&gt;&lt;Cite&gt;&lt;Author&gt;Lin&lt;/Author&gt;&lt;Year&gt;2018&lt;/Year&gt;&lt;RecNum&gt;577&lt;/RecNum&gt;&lt;DisplayText&gt;(16)&lt;/DisplayText&gt;&lt;record&gt;&lt;rec-number&gt;577&lt;/rec-number&gt;&lt;foreign-keys&gt;&lt;key app="EN" db-id="zxvt9psxt9rdw9e9rf555s2jpswv95p5wppv" timestamp="1587339525" guid="0e691545-a369-496d-a560-a854214aa99b"&gt;577&lt;/key&gt;&lt;/foreign-keys&gt;&lt;ref-type name="Journal Article"&gt;17&lt;/ref-type&gt;&lt;contributors&gt;&lt;authors&gt;&lt;author&gt;Lin, Jialing&lt;/author&gt;&lt;author&gt;Liang, Jianping&lt;/author&gt;&lt;author&gt;Zhang, Ting&lt;/author&gt;&lt;author&gt;Bai, Chan&lt;/author&gt;&lt;author&gt;Ye, Jiaping&lt;/author&gt;&lt;author&gt;Yao, Zhenjiang&lt;/author&gt;&lt;/authors&gt;&lt;/contributors&gt;&lt;titles&gt;&lt;title&gt;Dose-response associations of methicillin-resistant Staphylococcus aureus between school environmental contamination and nasal carriage by elementary students&lt;/title&gt;&lt;secondary-title&gt;Infection and drug resistance&lt;/secondary-title&gt;&lt;/titles&gt;&lt;periodical&gt;&lt;full-title&gt;Infection and drug resistance&lt;/full-title&gt;&lt;/periodical&gt;&lt;pages&gt;773&lt;/pages&gt;&lt;volume&gt;11&lt;/volume&gt;&lt;dates&gt;&lt;year&gt;2018&lt;/year&gt;&lt;/dates&gt;&lt;urls&gt;&lt;/urls&gt;&lt;/record&gt;&lt;/Cite&gt;&lt;/EndNote&gt;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(16)</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and hospital designs providing for sufficient washrooms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&lt;EndNote&gt;&lt;Cite&gt;&lt;Author&gt;Karki&lt;/Author&gt;&lt;Year&gt;2015&lt;/Year&gt;&lt;RecNum&gt;579&lt;/RecNum&gt;&lt;DisplayText&gt;(14)&lt;/DisplayText&gt;&lt;record&gt;&lt;rec-number&gt;579&lt;/rec-number&gt;&lt;foreign-keys&gt;&lt;key app="EN" db-id="zxvt9psxt9rdw9e9rf555s2jpswv95p5wppv" timestamp="1587344124" guid="0eff0202-0b8b-4ebd-ac1b-fcb4c6597e64"&gt;579&lt;/key&gt;&lt;/foreign-keys&gt;&lt;ref-type name="Journal Article"&gt;17&lt;/ref-type&gt;&lt;contributors&gt;&lt;authors&gt;&lt;author&gt;Karki, Surendra&lt;/author&gt;&lt;author&gt;Leder, Karin&lt;/author&gt;&lt;author&gt;Cheng, Allen C&lt;/author&gt;&lt;/authors&gt;&lt;/contributors&gt;&lt;titles&gt;&lt;title&gt;Should we continue to isolate patients with vancomycin-resistant enterococci in hospitals&lt;/title&gt;&lt;secondary-title&gt;Med J Aust&lt;/secondary-title&gt;&lt;/titles&gt;&lt;periodical&gt;&lt;full-title&gt;Med J Aust&lt;/full-title&gt;&lt;/periodical&gt;&lt;pages&gt;234-6&lt;/pages&gt;&lt;volume&gt;202&lt;/volume&gt;&lt;number&gt;5&lt;/number&gt;&lt;dates&gt;&lt;year&gt;2015&lt;/year&gt;&lt;/dates&gt;&lt;urls&gt;&lt;/urls&gt;&lt;/record&gt;&lt;/Cite&gt;&lt;/EndNote&gt;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(14)</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w:t>
      </w:r>
    </w:p>
    <w:p w14:paraId="06ED5B75" w14:textId="24D08D97" w:rsidR="00B14A3B" w:rsidRDefault="00B14A3B" w:rsidP="00B14A3B">
      <w:pPr>
        <w:spacing w:after="0" w:line="240" w:lineRule="auto"/>
        <w:jc w:val="both"/>
        <w:rPr>
          <w:rFonts w:ascii="Georgia" w:hAnsi="Georgia" w:cs="Times New Roman"/>
          <w:sz w:val="20"/>
          <w:szCs w:val="20"/>
        </w:rPr>
      </w:pPr>
      <w:r>
        <w:rPr>
          <w:rFonts w:ascii="Georgia" w:hAnsi="Georgia" w:cs="Times New Roman"/>
          <w:color w:val="000000"/>
          <w:sz w:val="20"/>
          <w:szCs w:val="20"/>
          <w:shd w:val="clear" w:color="auto" w:fill="FFFFFF"/>
        </w:rPr>
        <w:t xml:space="preserve">    </w:t>
      </w:r>
      <w:r w:rsidRPr="001824CA">
        <w:rPr>
          <w:rFonts w:ascii="Georgia" w:hAnsi="Georgia" w:cs="Times New Roman"/>
          <w:color w:val="000000"/>
          <w:sz w:val="20"/>
          <w:szCs w:val="20"/>
          <w:shd w:val="clear" w:color="auto" w:fill="FFFFFF"/>
        </w:rPr>
        <w:t xml:space="preserve">Drug-resistant Klebsiella Pneumonia, NDM-1 Enterobacteriaceae and Acinetobacter (Baumanii and Bachmannii) were all hospital-acquired and were reported from both high- and middle-income countries. Most of reports of Acinetobacter and Klebsiella infections were outbreaks in neonatal intensive care units. All three pathogens have been responsible for causing serious infections in patients admitted due to pre-existing conditions and were largely fatal. The reported Klebsiella Pneumonia and NDM1 pathogens were resistant to key antibiotics Carbapenem and Colistin. Carbapenem resistance is of concern in Klebsiella infections, since Carbapenems are last-resort antibiotics for treating MDR Klebsiella Pneumoniae </w:t>
      </w:r>
      <w:r w:rsidRPr="001824CA">
        <w:rPr>
          <w:rFonts w:ascii="Georgia" w:hAnsi="Georgia" w:cs="Times New Roman"/>
          <w:color w:val="000000"/>
          <w:sz w:val="20"/>
          <w:szCs w:val="20"/>
          <w:shd w:val="clear" w:color="auto" w:fill="FFFFFF"/>
        </w:rPr>
        <w:fldChar w:fldCharType="begin"/>
      </w:r>
      <w:r w:rsidRPr="001824CA">
        <w:rPr>
          <w:rFonts w:ascii="Georgia" w:hAnsi="Georgia" w:cs="Times New Roman"/>
          <w:color w:val="000000"/>
          <w:sz w:val="20"/>
          <w:szCs w:val="20"/>
          <w:shd w:val="clear" w:color="auto" w:fill="FFFFFF"/>
        </w:rPr>
        <w:instrText xml:space="preserve"> ADDIN EN.CITE &lt;EndNote&gt;&lt;Cite&gt;&lt;Author&gt;Pitout&lt;/Author&gt;&lt;Year&gt;2015&lt;/Year&gt;&lt;RecNum&gt;581&lt;/RecNum&gt;&lt;DisplayText&gt;(20)&lt;/DisplayText&gt;&lt;record&gt;&lt;rec-number&gt;581&lt;/rec-number&gt;&lt;foreign-keys&gt;&lt;key app="EN" db-id="zxvt9psxt9rdw9e9rf555s2jpswv95p5wppv" timestamp="1587354237" guid="bea08b74-7251-4b69-9a69-e19fc0bc0af0"&gt;581&lt;/key&gt;&lt;/foreign-keys&gt;&lt;ref-type name="Journal Article"&gt;17&lt;/ref-type&gt;&lt;contributors&gt;&lt;authors&gt;&lt;author&gt;Pitout, Johann DD&lt;/author&gt;&lt;author&gt;Nordmann, Patrice&lt;/author&gt;&lt;author&gt;Poirel, Laurent&lt;/author&gt;&lt;/authors&gt;&lt;/contributors&gt;&lt;titles&gt;&lt;title&gt;Carbapenemase-producing Klebsiella pneumoniae, a key pathogen set for global nosocomial dominance&lt;/title&gt;&lt;secondary-title&gt;Antimicrobial agents and chemotherapy&lt;/secondary-title&gt;&lt;/titles&gt;&lt;periodical&gt;&lt;full-title&gt;Antimicrobial agents and chemotherapy&lt;/full-title&gt;&lt;/periodical&gt;&lt;pages&gt;5873-5884&lt;/pages&gt;&lt;volume&gt;59&lt;/volume&gt;&lt;number&gt;10&lt;/number&gt;&lt;dates&gt;&lt;year&gt;2015&lt;/year&gt;&lt;/dates&gt;&lt;isbn&gt;0066-4804&lt;/isbn&gt;&lt;urls&gt;&lt;/urls&gt;&lt;/record&gt;&lt;/Cite&gt;&lt;/EndNote&gt;</w:instrText>
      </w:r>
      <w:r w:rsidRPr="001824CA">
        <w:rPr>
          <w:rFonts w:ascii="Georgia" w:hAnsi="Georgia" w:cs="Times New Roman"/>
          <w:color w:val="000000"/>
          <w:sz w:val="20"/>
          <w:szCs w:val="20"/>
          <w:shd w:val="clear" w:color="auto" w:fill="FFFFFF"/>
        </w:rPr>
        <w:fldChar w:fldCharType="separate"/>
      </w:r>
      <w:r w:rsidRPr="001824CA">
        <w:rPr>
          <w:rFonts w:ascii="Georgia" w:hAnsi="Georgia" w:cs="Times New Roman"/>
          <w:noProof/>
          <w:color w:val="000000"/>
          <w:sz w:val="20"/>
          <w:szCs w:val="20"/>
          <w:shd w:val="clear" w:color="auto" w:fill="FFFFFF"/>
        </w:rPr>
        <w:t>(20)</w:t>
      </w:r>
      <w:r w:rsidRPr="001824CA">
        <w:rPr>
          <w:rFonts w:ascii="Georgia" w:hAnsi="Georgia" w:cs="Times New Roman"/>
          <w:color w:val="000000"/>
          <w:sz w:val="20"/>
          <w:szCs w:val="20"/>
          <w:shd w:val="clear" w:color="auto" w:fill="FFFFFF"/>
        </w:rPr>
        <w:fldChar w:fldCharType="end"/>
      </w:r>
      <w:r w:rsidRPr="001824CA">
        <w:rPr>
          <w:rFonts w:ascii="Georgia" w:hAnsi="Georgia" w:cs="Times New Roman"/>
          <w:color w:val="000000"/>
          <w:sz w:val="20"/>
          <w:szCs w:val="20"/>
          <w:shd w:val="clear" w:color="auto" w:fill="FFFFFF"/>
        </w:rPr>
        <w:t xml:space="preserve">. Combination therapy with </w:t>
      </w:r>
      <w:r w:rsidRPr="001824CA">
        <w:rPr>
          <w:rFonts w:ascii="Georgia" w:hAnsi="Georgia" w:cs="Times New Roman"/>
          <w:sz w:val="20"/>
          <w:szCs w:val="20"/>
        </w:rPr>
        <w:t xml:space="preserve">Polymyxins, Fosfomycin, Tigecycline, Rifampin, and Carbapenems </w:t>
      </w:r>
      <w:r w:rsidRPr="001824CA">
        <w:rPr>
          <w:rFonts w:ascii="Georgia" w:hAnsi="Georgia" w:cs="Times New Roman"/>
          <w:sz w:val="20"/>
          <w:szCs w:val="20"/>
        </w:rPr>
        <w:lastRenderedPageBreak/>
        <w:t xml:space="preserve">have met with success. Importantly, strict adherence to infection control measures along with patient isolation or cohorts could help in control of resistant strains </w:t>
      </w:r>
      <w:r w:rsidRPr="001824CA">
        <w:rPr>
          <w:rFonts w:ascii="Georgia" w:hAnsi="Georgia" w:cs="Times New Roman"/>
          <w:sz w:val="20"/>
          <w:szCs w:val="20"/>
        </w:rPr>
        <w:fldChar w:fldCharType="begin"/>
      </w:r>
      <w:r w:rsidRPr="001824CA">
        <w:rPr>
          <w:rFonts w:ascii="Georgia" w:hAnsi="Georgia" w:cs="Times New Roman"/>
          <w:sz w:val="20"/>
          <w:szCs w:val="20"/>
        </w:rPr>
        <w:instrText xml:space="preserve"> ADDIN EN.CITE &lt;EndNote&gt;&lt;Cite&gt;&lt;Author&gt;Pitout&lt;/Author&gt;&lt;Year&gt;2015&lt;/Year&gt;&lt;RecNum&gt;589&lt;/RecNum&gt;&lt;DisplayText&gt;(20)&lt;/DisplayText&gt;&lt;record&gt;&lt;rec-number&gt;589&lt;/rec-number&gt;&lt;foreign-keys&gt;&lt;key app="EN" db-id="zxvt9psxt9rdw9e9rf555s2jpswv95p5wppv" timestamp="1587373733" guid="fb86221b-c71a-4bb1-bbb9-50fec16c20fd"&gt;589&lt;/key&gt;&lt;/foreign-keys&gt;&lt;ref-type name="Journal Article"&gt;17&lt;/ref-type&gt;&lt;contributors&gt;&lt;authors&gt;&lt;author&gt;Pitout, Johann DD&lt;/author&gt;&lt;author&gt;Nordmann, Patrice&lt;/author&gt;&lt;author&gt;Poirel, Laurent&lt;/author&gt;&lt;/authors&gt;&lt;/contributors&gt;&lt;titles&gt;&lt;title&gt;Carbapenemase-producing Klebsiella pneumoniae, a key pathogen set for global nosocomial dominance&lt;/title&gt;&lt;secondary-title&gt;Antimicrobial agents and chemotherapy&lt;/secondary-title&gt;&lt;/titles&gt;&lt;periodical&gt;&lt;full-title&gt;Antimicrobial agents and chemotherapy&lt;/full-title&gt;&lt;/periodical&gt;&lt;pages&gt;5873-5884&lt;/pages&gt;&lt;volume&gt;59&lt;/volume&gt;&lt;number&gt;10&lt;/number&gt;&lt;dates&gt;&lt;year&gt;2015&lt;/year&gt;&lt;/dates&gt;&lt;isbn&gt;0066-4804&lt;/isbn&gt;&lt;urls&gt;&lt;/urls&gt;&lt;/record&gt;&lt;/Cite&gt;&lt;/EndNote&gt;</w:instrText>
      </w:r>
      <w:r w:rsidRPr="001824CA">
        <w:rPr>
          <w:rFonts w:ascii="Georgia" w:hAnsi="Georgia" w:cs="Times New Roman"/>
          <w:sz w:val="20"/>
          <w:szCs w:val="20"/>
        </w:rPr>
        <w:fldChar w:fldCharType="separate"/>
      </w:r>
      <w:r w:rsidRPr="001824CA">
        <w:rPr>
          <w:rFonts w:ascii="Georgia" w:hAnsi="Georgia" w:cs="Times New Roman"/>
          <w:noProof/>
          <w:sz w:val="20"/>
          <w:szCs w:val="20"/>
        </w:rPr>
        <w:t>(20)</w:t>
      </w:r>
      <w:r w:rsidRPr="001824CA">
        <w:rPr>
          <w:rFonts w:ascii="Georgia" w:hAnsi="Georgia" w:cs="Times New Roman"/>
          <w:sz w:val="20"/>
          <w:szCs w:val="20"/>
        </w:rPr>
        <w:fldChar w:fldCharType="end"/>
      </w:r>
      <w:r w:rsidRPr="001824CA">
        <w:rPr>
          <w:rFonts w:ascii="Georgia" w:hAnsi="Georgia" w:cs="Times New Roman"/>
          <w:sz w:val="20"/>
          <w:szCs w:val="20"/>
        </w:rPr>
        <w:t xml:space="preserve">. </w:t>
      </w:r>
    </w:p>
    <w:p w14:paraId="20FEE897" w14:textId="2B150D9A" w:rsidR="00B14A3B" w:rsidRDefault="00B14A3B" w:rsidP="00B14A3B">
      <w:pPr>
        <w:spacing w:after="0" w:line="240" w:lineRule="auto"/>
        <w:jc w:val="both"/>
        <w:rPr>
          <w:rFonts w:ascii="Georgia" w:hAnsi="Georgia" w:cs="Times New Roman"/>
          <w:sz w:val="20"/>
          <w:szCs w:val="20"/>
        </w:rPr>
      </w:pPr>
      <w:r>
        <w:rPr>
          <w:rFonts w:ascii="Georgia" w:hAnsi="Georgia" w:cs="Times New Roman"/>
          <w:color w:val="000000"/>
          <w:sz w:val="20"/>
          <w:szCs w:val="20"/>
          <w:shd w:val="clear" w:color="auto" w:fill="FFFFFF"/>
        </w:rPr>
        <w:t xml:space="preserve">    </w:t>
      </w:r>
      <w:r w:rsidRPr="00B14A3B">
        <w:rPr>
          <w:rFonts w:ascii="Georgia" w:hAnsi="Georgia" w:cs="Times New Roman"/>
          <w:color w:val="000000"/>
          <w:sz w:val="20"/>
          <w:szCs w:val="20"/>
          <w:shd w:val="clear" w:color="auto" w:fill="FFFFFF"/>
        </w:rPr>
        <w:t xml:space="preserve">Acinetobacter baumanii is the most virulent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&lt;EndNote&gt;&lt;Cite&gt;&lt;Author&gt;Wong&lt;/Author&gt;&lt;Year&gt;2017&lt;/Year&gt;&lt;RecNum&gt;586&lt;/RecNum&gt;&lt;DisplayText&gt;(21)&lt;/DisplayText&gt;&lt;record&gt;&lt;rec-number&gt;586&lt;/rec-number&gt;&lt;foreign-keys&gt;&lt;key app="EN" db-id="zxvt9psxt9rdw9e9rf555s2jpswv95p5wppv" timestamp="1587365726" guid="02e6045e-b21e-4499-8bd1-c63cf4a45927"&gt;586&lt;/key&gt;&lt;/foreign-keys&gt;&lt;ref-type name="Journal Article"&gt;17&lt;/ref-type&gt;&lt;contributors&gt;&lt;authors&gt;&lt;author&gt;Wong, Darren&lt;/author&gt;&lt;author&gt;Nielsen, Travis B&lt;/author&gt;&lt;author&gt;Bonomo, Robert A&lt;/author&gt;&lt;author&gt;Pantapalangkoor, Paul&lt;/author&gt;&lt;author&gt;Luna, Brian&lt;/author&gt;&lt;author&gt;Spellberg, Brad&lt;/author&gt;&lt;/authors&gt;&lt;/contributors&gt;&lt;titles&gt;&lt;title&gt;Clinical and pathophysiological overview of Acinetobacter infections: a century of challenges&lt;/title&gt;&lt;secondary-title&gt;Clinical microbiology reviews&lt;/secondary-title&gt;&lt;/titles&gt;&lt;periodical&gt;&lt;full-title&gt;Clinical microbiology reviews&lt;/full-title&gt;&lt;/periodical&gt;&lt;pages&gt;409-447&lt;/pages&gt;&lt;volume&gt;30&lt;/volume&gt;&lt;number&gt;1&lt;/number&gt;&lt;dates&gt;&lt;year&gt;2017&lt;/year&gt;&lt;/dates&gt;&lt;isbn&gt;0893-8512&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(21)</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and a significant nosocomial pathogen due to its potential to withstand major antibacterial agents, disinfectants and desiccation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&lt;EndNote&gt;&lt;Cite&gt;&lt;Author&gt;Isler&lt;/Author&gt;&lt;Year&gt;2019&lt;/Year&gt;&lt;RecNum&gt;584&lt;/RecNum&gt;&lt;DisplayText&gt;(22)&lt;/DisplayText&gt;&lt;record&gt;&lt;rec-number&gt;584&lt;/rec-number&gt;&lt;foreign-keys&gt;&lt;key app="EN" db-id="zxvt9psxt9rdw9e9rf555s2jpswv95p5wppv" timestamp="1587364281" guid="f3f6c009-ab73-4360-8bbd-12290a7cbb5a"&gt;584&lt;/key&gt;&lt;/foreign-keys&gt;&lt;ref-type name="Journal Article"&gt;17&lt;/ref-type&gt;&lt;contributors&gt;&lt;authors&gt;&lt;author&gt;Isler, Burcu&lt;/author&gt;&lt;author&gt;Doi, Yohei&lt;/author&gt;&lt;author&gt;Bonomo, Robert A&lt;/author&gt;&lt;author&gt;Paterson, David L&lt;/author&gt;&lt;/authors&gt;&lt;/contributors&gt;&lt;titles&gt;&lt;title&gt;New treatment options against carbapenem-resistant Acinetobacter baumannii infections&lt;/title&gt;&lt;secondary-title&gt;Antimicrobial agents and chemotherapy&lt;/secondary-title&gt;&lt;/titles&gt;&lt;periodical&gt;&lt;full-title&gt;Antimicrobial agents and chemotherapy&lt;/full-title&gt;&lt;/periodical&gt;&lt;pages&gt;e01110-18&lt;/pages&gt;&lt;volume&gt;63&lt;/volume&gt;&lt;number&gt;1&lt;/number&gt;&lt;dates&gt;&lt;year&gt;2019&lt;/year&gt;&lt;/dates&gt;&lt;isbn&gt;0066-4804&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(22)</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and to evade rapid clearance by the immune system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&lt;EndNote&gt;&lt;Cite&gt;&lt;Author&gt;Wong&lt;/Author&gt;&lt;Year&gt;2017&lt;/Year&gt;&lt;RecNum&gt;585&lt;/RecNum&gt;&lt;DisplayText&gt;(21)&lt;/DisplayText&gt;&lt;record&gt;&lt;rec-number&gt;585&lt;/rec-number&gt;&lt;foreign-keys&gt;&lt;key app="EN" db-id="zxvt9psxt9rdw9e9rf555s2jpswv95p5wppv" timestamp="1587364307" guid="40e869b3-d1ec-46a8-b325-47b6fb5e8798"&gt;585&lt;/key&gt;&lt;/foreign-keys&gt;&lt;ref-type name="Journal Article"&gt;17&lt;/ref-type&gt;&lt;contributors&gt;&lt;authors&gt;&lt;author&gt;Wong, Darren&lt;/author&gt;&lt;author&gt;Nielsen, Travis B&lt;/author&gt;&lt;author&gt;Bonomo, Robert A&lt;/author&gt;&lt;author&gt;Pantapalangkoor, Paul&lt;/author&gt;&lt;author&gt;Luna, Brian&lt;/author&gt;&lt;author&gt;Spellberg, Brad&lt;/author&gt;&lt;/authors&gt;&lt;/contributors&gt;&lt;titles&gt;&lt;title&gt;Clinical and pathophysiological overview of Acinetobacter infections: a century of challenges&lt;/title&gt;&lt;secondary-title&gt;Clinical microbiology reviews&lt;/secondary-title&gt;&lt;/titles&gt;&lt;periodical&gt;&lt;full-title&gt;Clinical microbiology reviews&lt;/full-title&gt;&lt;/periodical&gt;&lt;pages&gt;409-447&lt;/pages&gt;&lt;volume&gt;30&lt;/volume&gt;&lt;number&gt;1&lt;/number&gt;&lt;dates&gt;&lt;year&gt;2017&lt;/year&gt;&lt;/dates&gt;&lt;isbn&gt;0893-8512&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(21)</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β-lactam is the first choice for Acinetobacter infections, but in XDR cases combination carbapenem-polymyxin therapy</w:t>
      </w:r>
      <w:r w:rsidRPr="00B14A3B">
        <w:rPr>
          <w:rFonts w:ascii="Georgia" w:hAnsi="Georgia" w:cs="Times New Roman"/>
          <w:sz w:val="20"/>
          <w:szCs w:val="20"/>
        </w:rPr>
        <w:t xml:space="preserve"> is the preferred choice </w:t>
      </w:r>
      <w:r w:rsidRPr="00B14A3B">
        <w:rPr>
          <w:rFonts w:ascii="Georgia" w:hAnsi="Georgia" w:cs="Times New Roman"/>
          <w:sz w:val="20"/>
          <w:szCs w:val="20"/>
        </w:rPr>
        <w:fldChar w:fldCharType="begin"/>
      </w:r>
      <w:r w:rsidRPr="00B14A3B">
        <w:rPr>
          <w:rFonts w:ascii="Georgia" w:hAnsi="Georgia" w:cs="Times New Roman"/>
          <w:sz w:val="20"/>
          <w:szCs w:val="20"/>
        </w:rPr>
        <w:instrText xml:space="preserve"> ADDIN EN.CITE &lt;EndNote&gt;&lt;Cite&gt;&lt;Author&gt;Wong&lt;/Author&gt;&lt;Year&gt;2017&lt;/Year&gt;&lt;RecNum&gt;586&lt;/RecNum&gt;&lt;DisplayText&gt;(21)&lt;/DisplayText&gt;&lt;record&gt;&lt;rec-number&gt;586&lt;/rec-number&gt;&lt;foreign-keys&gt;&lt;key app="EN" db-id="zxvt9psxt9rdw9e9rf555s2jpswv95p5wppv" timestamp="1587365726" guid="02e6045e-b21e-4499-8bd1-c63cf4a45927"&gt;586&lt;/key&gt;&lt;/foreign-keys&gt;&lt;ref-type name="Journal Article"&gt;17&lt;/ref-type&gt;&lt;contributors&gt;&lt;authors&gt;&lt;author&gt;Wong, Darren&lt;/author&gt;&lt;author&gt;Nielsen, Travis B&lt;/author&gt;&lt;author&gt;Bonomo, Robert A&lt;/author&gt;&lt;author&gt;Pantapalangkoor, Paul&lt;/author&gt;&lt;author&gt;Luna, Brian&lt;/author&gt;&lt;author&gt;Spellberg, Brad&lt;/author&gt;&lt;/authors&gt;&lt;/contributors&gt;&lt;titles&gt;&lt;title&gt;Clinical and pathophysiological overview of Acinetobacter infections: a century of challenges&lt;/title&gt;&lt;secondary-title&gt;Clinical microbiology reviews&lt;/secondary-title&gt;&lt;/titles&gt;&lt;periodical&gt;&lt;full-title&gt;Clinical microbiology reviews&lt;/full-title&gt;&lt;/periodical&gt;&lt;pages&gt;409-447&lt;/pages&gt;&lt;volume&gt;30&lt;/volume&gt;&lt;number&gt;1&lt;/number&gt;&lt;dates&gt;&lt;year&gt;2017&lt;/year&gt;&lt;/dates&gt;&lt;isbn&gt;0893-8512&lt;/isbn&gt;&lt;urls&gt;&lt;/urls&gt;&lt;/record&gt;&lt;/Cite&gt;&lt;/EndNote&gt;</w:instrText>
      </w:r>
      <w:r w:rsidRPr="00B14A3B">
        <w:rPr>
          <w:rFonts w:ascii="Georgia" w:hAnsi="Georgia" w:cs="Times New Roman"/>
          <w:sz w:val="20"/>
          <w:szCs w:val="20"/>
        </w:rPr>
        <w:fldChar w:fldCharType="separate"/>
      </w:r>
      <w:r w:rsidRPr="00B14A3B">
        <w:rPr>
          <w:rFonts w:ascii="Georgia" w:hAnsi="Georgia" w:cs="Times New Roman"/>
          <w:noProof/>
          <w:sz w:val="20"/>
          <w:szCs w:val="20"/>
        </w:rPr>
        <w:t>(21)</w:t>
      </w:r>
      <w:r w:rsidRPr="00B14A3B">
        <w:rPr>
          <w:rFonts w:ascii="Georgia" w:hAnsi="Georgia" w:cs="Times New Roman"/>
          <w:sz w:val="20"/>
          <w:szCs w:val="20"/>
        </w:rPr>
        <w:fldChar w:fldCharType="end"/>
      </w:r>
      <w:r w:rsidRPr="00B14A3B">
        <w:rPr>
          <w:rFonts w:ascii="Georgia" w:hAnsi="Georgia" w:cs="Times New Roman"/>
          <w:sz w:val="20"/>
          <w:szCs w:val="20"/>
        </w:rPr>
        <w:t xml:space="preserve">. </w:t>
      </w:r>
      <w:r w:rsidRPr="00B14A3B">
        <w:rPr>
          <w:rFonts w:ascii="Georgia" w:hAnsi="Georgia" w:cs="Times New Roman"/>
          <w:color w:val="000000"/>
          <w:sz w:val="20"/>
          <w:szCs w:val="20"/>
          <w:shd w:val="clear" w:color="auto" w:fill="FFFFFF"/>
        </w:rPr>
        <w:t xml:space="preserve">Other than being present on environmental surfaces, Acinetobacter have also been reported to be transmitted as aerosols. Early airborne precautions, adequate </w:t>
      </w:r>
      <w:r w:rsidRPr="00B14A3B">
        <w:rPr>
          <w:rFonts w:ascii="Georgia" w:hAnsi="Georgia" w:cs="Times New Roman"/>
          <w:sz w:val="20"/>
          <w:szCs w:val="20"/>
        </w:rPr>
        <w:t xml:space="preserve">ventilation, high-efficiency particulate air (HEPA) filtration </w:t>
      </w:r>
      <w:r w:rsidRPr="00B14A3B">
        <w:rPr>
          <w:rFonts w:ascii="Georgia" w:hAnsi="Georgia" w:cs="Times New Roman"/>
          <w:sz w:val="20"/>
          <w:szCs w:val="20"/>
        </w:rPr>
        <w:fldChar w:fldCharType="begin"/>
      </w:r>
      <w:r w:rsidRPr="00B14A3B">
        <w:rPr>
          <w:rFonts w:ascii="Georgia" w:hAnsi="Georgia" w:cs="Times New Roman"/>
          <w:sz w:val="20"/>
          <w:szCs w:val="20"/>
        </w:rPr>
        <w:instrText xml:space="preserve"> ADDIN EN.CITE &lt;EndNote&gt;&lt;Cite&gt;&lt;Author&gt;Kerr&lt;/Author&gt;&lt;Year&gt;2006&lt;/Year&gt;&lt;RecNum&gt;606&lt;/RecNum&gt;&lt;DisplayText&gt;(23)&lt;/DisplayText&gt;&lt;record&gt;&lt;rec-number&gt;606&lt;/rec-number&gt;&lt;foreign-keys&gt;&lt;key app="EN" db-id="zxvt9psxt9rdw9e9rf555s2jpswv95p5wppv" timestamp="1589281914"&gt;606&lt;/key&gt;&lt;/foreign-keys&gt;&lt;ref-type name="Journal Article"&gt;17&lt;/ref-type&gt;&lt;contributors&gt;&lt;authors&gt;&lt;author&gt;Kerr, Kevin G&lt;/author&gt;&lt;author&gt;Beggs, Clive B&lt;/author&gt;&lt;author&gt;Dean, Stephen G&lt;/author&gt;&lt;author&gt;Thornton, Judith&lt;/author&gt;&lt;author&gt;Donnelly, Judith K&lt;/author&gt;&lt;author&gt;Todd, Neil J&lt;/author&gt;&lt;author&gt;Sleigh, P Andrew&lt;/author&gt;&lt;author&gt;Qureshi, Andleeb&lt;/author&gt;&lt;author&gt;Taylor, Charles C&lt;/author&gt;&lt;/authors&gt;&lt;/contributors&gt;&lt;titles&gt;&lt;title&gt;Air ionisation and colonisation/infection with methicillin-resistant Staphylococcus aureus and Acinetobacter species in an intensive care unit&lt;/title&gt;&lt;secondary-title&gt;Intensive care medicine&lt;/secondary-title&gt;&lt;/titles&gt;&lt;periodical&gt;&lt;full-title&gt;Intensive care medicine&lt;/full-title&gt;&lt;/periodical&gt;&lt;pages&gt;315-317&lt;/pages&gt;&lt;volume&gt;32&lt;/volume&gt;&lt;number&gt;2&lt;/number&gt;&lt;dates&gt;&lt;year&gt;2006&lt;/year&gt;&lt;/dates&gt;&lt;isbn&gt;0342-4642&lt;/isbn&gt;&lt;urls&gt;&lt;/urls&gt;&lt;/record&gt;&lt;/Cite&gt;&lt;/EndNote&gt;</w:instrText>
      </w:r>
      <w:r w:rsidRPr="00B14A3B">
        <w:rPr>
          <w:rFonts w:ascii="Georgia" w:hAnsi="Georgia" w:cs="Times New Roman"/>
          <w:sz w:val="20"/>
          <w:szCs w:val="20"/>
        </w:rPr>
        <w:fldChar w:fldCharType="separate"/>
      </w:r>
      <w:r w:rsidRPr="00B14A3B">
        <w:rPr>
          <w:rFonts w:ascii="Georgia" w:hAnsi="Georgia" w:cs="Times New Roman"/>
          <w:noProof/>
          <w:sz w:val="20"/>
          <w:szCs w:val="20"/>
        </w:rPr>
        <w:t>(23)</w:t>
      </w:r>
      <w:r w:rsidRPr="00B14A3B">
        <w:rPr>
          <w:rFonts w:ascii="Georgia" w:hAnsi="Georgia" w:cs="Times New Roman"/>
          <w:sz w:val="20"/>
          <w:szCs w:val="20"/>
        </w:rPr>
        <w:fldChar w:fldCharType="end"/>
      </w:r>
      <w:r w:rsidRPr="00B14A3B">
        <w:rPr>
          <w:rFonts w:ascii="Georgia" w:hAnsi="Georgia" w:cs="Times New Roman"/>
          <w:sz w:val="20"/>
          <w:szCs w:val="20"/>
        </w:rPr>
        <w:t xml:space="preserve">, and patient cohorting along with surface disinfection could prevent the spread of resistant pathogens </w:t>
      </w:r>
      <w:r w:rsidRPr="00B14A3B">
        <w:rPr>
          <w:rFonts w:ascii="Georgia" w:hAnsi="Georgia" w:cs="Times New Roman"/>
          <w:sz w:val="20"/>
          <w:szCs w:val="20"/>
        </w:rPr>
        <w:fldChar w:fldCharType="begin"/>
      </w:r>
      <w:r w:rsidRPr="00B14A3B">
        <w:rPr>
          <w:rFonts w:ascii="Georgia" w:hAnsi="Georgia" w:cs="Times New Roman"/>
          <w:sz w:val="20"/>
          <w:szCs w:val="20"/>
        </w:rPr>
        <w:instrText xml:space="preserve"> ADDIN EN.CITE &lt;EndNote&gt;&lt;Cite&gt;&lt;Author&gt;Wong&lt;/Author&gt;&lt;Year&gt;2017&lt;/Year&gt;&lt;RecNum&gt;586&lt;/RecNum&gt;&lt;DisplayText&gt;(21)&lt;/DisplayText&gt;&lt;record&gt;&lt;rec-number&gt;586&lt;/rec-number&gt;&lt;foreign-keys&gt;&lt;key app="EN" db-id="zxvt9psxt9rdw9e9rf555s2jpswv95p5wppv" timestamp="1587365726" guid="02e6045e-b21e-4499-8bd1-c63cf4a45927"&gt;586&lt;/key&gt;&lt;/foreign-keys&gt;&lt;ref-type name="Journal Article"&gt;17&lt;/ref-type&gt;&lt;contributors&gt;&lt;authors&gt;&lt;author&gt;Wong, Darren&lt;/author&gt;&lt;author&gt;Nielsen, Travis B&lt;/author&gt;&lt;author&gt;Bonomo, Robert A&lt;/author&gt;&lt;author&gt;Pantapalangkoor, Paul&lt;/author&gt;&lt;author&gt;Luna, Brian&lt;/author&gt;&lt;author&gt;Spellberg, Brad&lt;/author&gt;&lt;/authors&gt;&lt;/contributors&gt;&lt;titles&gt;&lt;title&gt;Clinical and pathophysiological overview of Acinetobacter infections: a century of challenges&lt;/title&gt;&lt;secondary-title&gt;Clinical microbiology reviews&lt;/secondary-title&gt;&lt;/titles&gt;&lt;periodical&gt;&lt;full-title&gt;Clinical microbiology reviews&lt;/full-title&gt;&lt;/periodical&gt;&lt;pages&gt;409-447&lt;/pages&gt;&lt;volume&gt;30&lt;/volume&gt;&lt;number&gt;1&lt;/number&gt;&lt;dates&gt;&lt;year&gt;2017&lt;/year&gt;&lt;/dates&gt;&lt;isbn&gt;0893-8512&lt;/isbn&gt;&lt;urls&gt;&lt;/urls&gt;&lt;/record&gt;&lt;/Cite&gt;&lt;/EndNote&gt;</w:instrText>
      </w:r>
      <w:r w:rsidRPr="00B14A3B">
        <w:rPr>
          <w:rFonts w:ascii="Georgia" w:hAnsi="Georgia" w:cs="Times New Roman"/>
          <w:sz w:val="20"/>
          <w:szCs w:val="20"/>
        </w:rPr>
        <w:fldChar w:fldCharType="separate"/>
      </w:r>
      <w:r w:rsidRPr="00B14A3B">
        <w:rPr>
          <w:rFonts w:ascii="Georgia" w:hAnsi="Georgia" w:cs="Times New Roman"/>
          <w:noProof/>
          <w:sz w:val="20"/>
          <w:szCs w:val="20"/>
        </w:rPr>
        <w:t>(21)</w:t>
      </w:r>
      <w:r w:rsidRPr="00B14A3B">
        <w:rPr>
          <w:rFonts w:ascii="Georgia" w:hAnsi="Georgia" w:cs="Times New Roman"/>
          <w:sz w:val="20"/>
          <w:szCs w:val="20"/>
        </w:rPr>
        <w:fldChar w:fldCharType="end"/>
      </w:r>
      <w:r w:rsidRPr="00B14A3B">
        <w:rPr>
          <w:rFonts w:ascii="Georgia" w:hAnsi="Georgia" w:cs="Times New Roman"/>
          <w:sz w:val="20"/>
          <w:szCs w:val="20"/>
        </w:rPr>
        <w:t xml:space="preserve">. </w:t>
      </w:r>
    </w:p>
    <w:p w14:paraId="431357B9" w14:textId="4B096240" w:rsidR="00B14A3B" w:rsidRDefault="00B14A3B" w:rsidP="00B14A3B">
      <w:pPr>
        <w:spacing w:after="0" w:line="240" w:lineRule="auto"/>
        <w:jc w:val="both"/>
        <w:rPr>
          <w:rFonts w:ascii="Georgia" w:hAnsi="Georgia" w:cs="Times New Roman"/>
          <w:color w:val="000000"/>
          <w:sz w:val="20"/>
          <w:szCs w:val="20"/>
          <w:shd w:val="clear" w:color="auto" w:fill="FFFFFF"/>
        </w:rPr>
      </w:pPr>
      <w:bookmarkStart w:id="4" w:name="_Hlk39672039"/>
      <w:r>
        <w:rPr>
          <w:rFonts w:ascii="Georgia" w:hAnsi="Georgia" w:cs="Times New Roman"/>
          <w:color w:val="000000"/>
          <w:sz w:val="20"/>
          <w:szCs w:val="20"/>
          <w:shd w:val="clear" w:color="auto" w:fill="FFFFFF"/>
        </w:rPr>
        <w:t xml:space="preserve">    </w:t>
      </w:r>
      <w:r w:rsidRPr="00B14A3B">
        <w:rPr>
          <w:rFonts w:ascii="Georgia" w:hAnsi="Georgia" w:cs="Times New Roman"/>
          <w:color w:val="000000"/>
          <w:sz w:val="20"/>
          <w:szCs w:val="20"/>
          <w:shd w:val="clear" w:color="auto" w:fill="FFFFFF"/>
        </w:rPr>
        <w:t xml:space="preserve">All cases of MDR non-typhoidal salmonella were foodborne or were a result of contact with livestock. They are a common cause of foodborne illnesses in industrialised countries. In a span of four years, there were multiple outbreaks of Salmonella in the US and most of them were MDR. In the reported outbreaks, more than a hundred people were hospitalised. MDR Salmonella and Campylobacter infections in humans may occur as a result of consumption of animals that were administered antibiotics as growth promoters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&lt;EndNote&gt;&lt;Cite&gt;&lt;Author&gt;Alpert&lt;/Author&gt;&lt;Year&gt;2017&lt;/Year&gt;&lt;RecNum&gt;590&lt;/RecNum&gt;&lt;DisplayText&gt;(24, 25)&lt;/DisplayText&gt;&lt;record&gt;&lt;rec-number&gt;590&lt;/rec-number&gt;&lt;foreign-keys&gt;&lt;key app="EN" db-id="zxvt9psxt9rdw9e9rf555s2jpswv95p5wppv" timestamp="1587380928" guid="415e1c33-e634-4478-b3e6-b8fc5623554d"&gt;590&lt;/key&gt;&lt;/foreign-keys&gt;&lt;ref-type name="Journal Article"&gt;17&lt;/ref-type&gt;&lt;contributors&gt;&lt;authors&gt;&lt;author&gt;Alpert, Patricia T&lt;/author&gt;&lt;/authors&gt;&lt;/contributors&gt;&lt;titles&gt;&lt;title&gt;Superbugs: antibiotic resistance is becoming a major public health concern&lt;/title&gt;&lt;secondary-title&gt;Home Health Care Management &amp;amp; Practice&lt;/secondary-title&gt;&lt;/titles&gt;&lt;periodical&gt;&lt;full-title&gt;Home Health Care Management &amp;amp; Practice&lt;/full-title&gt;&lt;/periodical&gt;&lt;pages&gt;130-133&lt;/pages&gt;&lt;volume&gt;29&lt;/volume&gt;&lt;number&gt;2&lt;/number&gt;&lt;dates&gt;&lt;year&gt;2017&lt;/year&gt;&lt;/dates&gt;&lt;isbn&gt;1084-8223&lt;/isbn&gt;&lt;urls&gt;&lt;/urls&gt;&lt;/record&gt;&lt;/Cite&gt;&lt;Cite&gt;&lt;Author&gt;Franco&lt;/Author&gt;&lt;Year&gt;2015&lt;/Year&gt;&lt;RecNum&gt;591&lt;/RecNum&gt;&lt;record&gt;&lt;rec-number&gt;591&lt;/rec-number&gt;&lt;foreign-keys&gt;&lt;key app="EN" db-id="zxvt9psxt9rdw9e9rf555s2jpswv95p5wppv" timestamp="1587381976" guid="d1beb46c-b011-43c2-bb87-fd509b2c6f96"&gt;591&lt;/key&gt;&lt;/foreign-keys&gt;&lt;ref-type name="Journal Article"&gt;17&lt;/ref-type&gt;&lt;contributors&gt;&lt;authors&gt;&lt;author&gt;Franco, Alessia&lt;/author&gt;&lt;author&gt;Leekitcharoenphon, Pimlapas&lt;/author&gt;&lt;author&gt;Feltrin, Fabiola&lt;/author&gt;&lt;author&gt;Alba, Patricia&lt;/author&gt;&lt;author&gt;Cordaro, Gessica&lt;/author&gt;&lt;author&gt;Iurescia, Manuela&lt;/author&gt;&lt;author&gt;Tolli, Rita&lt;/author&gt;&lt;author&gt;D’Incau, Mario&lt;/author&gt;&lt;author&gt;Staffolani, Monica&lt;/author&gt;&lt;author&gt;Di Giannatale, Elisabetta&lt;/author&gt;&lt;/authors&gt;&lt;/contributors&gt;&lt;titles&gt;&lt;title&gt;Emergence of a clonal lineage of multidrug-resistant ESBL-producing Salmonella Infantis transmitted from broilers and broiler meat to humans in Italy between 2011 and 2014&lt;/title&gt;&lt;secondary-title&gt;PLoS One&lt;/secondary-title&gt;&lt;/titles&gt;&lt;periodical&gt;&lt;full-title&gt;PloS one&lt;/full-title&gt;&lt;/periodical&gt;&lt;volume&gt;10&lt;/volume&gt;&lt;number&gt;12&lt;/number&gt;&lt;dates&gt;&lt;year&gt;2015&lt;/year&gt;&lt;/dates&gt;&lt;urls&gt;&lt;/urls&gt;&lt;/record&gt;&lt;/Cite&gt;&lt;/EndNote&gt;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(24, 25)</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Monitoring bacterial resistance in animal products will safeguard human health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&lt;EndNote&gt;&lt;Cite&gt;&lt;Author&gt;Hur&lt;/Author&gt;&lt;Year&gt;2012&lt;/Year&gt;&lt;RecNum&gt;592&lt;/RecNum&gt;&lt;DisplayText&gt;(26)&lt;/DisplayText&gt;&lt;record&gt;&lt;rec-number&gt;592&lt;/rec-number&gt;&lt;foreign-keys&gt;&lt;key app="EN" db-id="zxvt9psxt9rdw9e9rf555s2jpswv95p5wppv" timestamp="1587388001" guid="7df7d8b8-0bc7-4320-990d-e333cec53d72"&gt;592&lt;/key&gt;&lt;/foreign-keys&gt;&lt;ref-type name="Journal Article"&gt;17&lt;/ref-type&gt;&lt;contributors&gt;&lt;authors&gt;&lt;author&gt;Hur, Jin&lt;/author&gt;&lt;author&gt;Jawale, Chetan&lt;/author&gt;&lt;author&gt;Lee, John Hwa&lt;/author&gt;&lt;/authors&gt;&lt;/contributors&gt;&lt;titles&gt;&lt;title&gt;Antimicrobial resistance of Salmonella isolated from food animals: A review&lt;/title&gt;&lt;secondary-title&gt;Food Research International&lt;/secondary-title&gt;&lt;/titles&gt;&lt;periodical&gt;&lt;full-title&gt;Food Research International&lt;/full-title&gt;&lt;/periodical&gt;&lt;pages&gt;819-830&lt;/pages&gt;&lt;volume&gt;45&lt;/volume&gt;&lt;number&gt;2&lt;/number&gt;&lt;dates&gt;&lt;year&gt;2012&lt;/year&gt;&lt;/dates&gt;&lt;isbn&gt;0963-9969&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(26)</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w:t>
      </w:r>
    </w:p>
    <w:p w14:paraId="0C528A8F" w14:textId="06297A02" w:rsidR="00B14A3B" w:rsidRDefault="00B14A3B" w:rsidP="00B14A3B">
      <w:pPr>
        <w:spacing w:after="0" w:line="240" w:lineRule="auto"/>
        <w:jc w:val="both"/>
        <w:rPr>
          <w:rFonts w:ascii="Georgia" w:hAnsi="Georgia" w:cs="Times New Roman"/>
          <w:color w:val="000000"/>
          <w:sz w:val="20"/>
          <w:szCs w:val="20"/>
          <w:shd w:val="clear" w:color="auto" w:fill="FFFFFF"/>
        </w:rPr>
      </w:pPr>
      <w:r>
        <w:rPr>
          <w:rFonts w:ascii="Georgia" w:hAnsi="Georgia" w:cs="Times New Roman"/>
          <w:color w:val="000000"/>
          <w:sz w:val="20"/>
          <w:szCs w:val="20"/>
          <w:shd w:val="clear" w:color="auto" w:fill="FFFFFF"/>
        </w:rPr>
        <w:t xml:space="preserve">    </w:t>
      </w:r>
      <w:r w:rsidRPr="00B14A3B">
        <w:rPr>
          <w:rFonts w:ascii="Georgia" w:hAnsi="Georgia" w:cs="Times New Roman"/>
          <w:color w:val="000000"/>
          <w:sz w:val="20"/>
          <w:szCs w:val="20"/>
          <w:shd w:val="clear" w:color="auto" w:fill="FFFFFF"/>
        </w:rPr>
        <w:t xml:space="preserve">The MDR Salmonella typhoid outbreak was reported in a low-income country, due to poor water and sanitation facilities. It gradually evolved to XDR strain, resistant to 5 classes of antibiotics. Two imported cases were reported in the US and Australia of MDR and XDR Salmonella Typhi associated with a history of travel to the affected country. In drug-resistant typhoid endemic areas, mass awareness campaigns, particularly targeting practitioners for appropriate use of diagnostic procedures and antibiotic use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&lt;EndNote&gt;&lt;Cite&gt;&lt;Author&gt;Das&lt;/Author&gt;&lt;Year&gt;2018&lt;/Year&gt;&lt;RecNum&gt;593&lt;/RecNum&gt;&lt;DisplayText&gt;(27)&lt;/DisplayText&gt;&lt;record&gt;&lt;rec-number&gt;593&lt;/rec-number&gt;&lt;foreign-keys&gt;&lt;key app="EN" db-id="zxvt9psxt9rdw9e9rf555s2jpswv95p5wppv" timestamp="1587395069" guid="9b93fcee-4e5c-434e-ae1d-78c755d4a010"&gt;593&lt;/key&gt;&lt;/foreign-keys&gt;&lt;ref-type name="Journal Article"&gt;17&lt;/ref-type&gt;&lt;contributors&gt;&lt;authors&gt;&lt;author&gt;Das, Jai K&lt;/author&gt;&lt;author&gt;Hasan, Rumina&lt;/author&gt;&lt;author&gt;Zafar, Afia&lt;/author&gt;&lt;author&gt;Ahmed, Imran&lt;/author&gt;&lt;author&gt;Ikram, Aamer&lt;/author&gt;&lt;author&gt;Nizamuddin, Summiya&lt;/author&gt;&lt;author&gt;Fatima, Saleel&lt;/author&gt;&lt;author&gt;Akbar, Nauman&lt;/author&gt;&lt;author&gt;Sultan, Faisal&lt;/author&gt;&lt;author&gt;Bhutta, Zulfiqar A&lt;/author&gt;&lt;/authors&gt;&lt;/contributors&gt;&lt;titles&gt;&lt;title&gt;Trends, associations, and antimicrobial resistance of Salmonella typhi and paratyphi in Pakistan&lt;/title&gt;&lt;secondary-title&gt;The American journal of tropical medicine and hygiene&lt;/secondary-title&gt;&lt;/titles&gt;&lt;periodical&gt;&lt;full-title&gt;The American journal of tropical medicine and hygiene&lt;/full-title&gt;&lt;/periodical&gt;&lt;pages&gt;48-54&lt;/pages&gt;&lt;volume&gt;99&lt;/volume&gt;&lt;number&gt;3_Suppl&lt;/number&gt;&lt;dates&gt;&lt;year&gt;2018&lt;/year&gt;&lt;/dates&gt;&lt;isbn&gt;0002-9637&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(27)</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along with the issue of travel alert could curb the spread of resistance. </w:t>
      </w:r>
    </w:p>
    <w:p w14:paraId="6E9C5834" w14:textId="38F60418" w:rsidR="00B14A3B" w:rsidRDefault="00B14A3B" w:rsidP="00B14A3B">
      <w:pPr>
        <w:spacing w:after="0" w:line="240" w:lineRule="auto"/>
        <w:rPr>
          <w:rFonts w:ascii="Georgia" w:hAnsi="Georgia" w:cs="Times New Roman"/>
          <w:color w:val="000000"/>
          <w:sz w:val="20"/>
          <w:szCs w:val="20"/>
          <w:shd w:val="clear" w:color="auto" w:fill="FFFFFF"/>
        </w:rPr>
      </w:pPr>
      <w:r>
        <w:rPr>
          <w:rFonts w:ascii="Georgia" w:hAnsi="Georgia" w:cs="Times New Roman"/>
          <w:sz w:val="20"/>
          <w:szCs w:val="20"/>
        </w:rPr>
        <w:t xml:space="preserve">    </w:t>
      </w:r>
      <w:r w:rsidRPr="00B14A3B">
        <w:rPr>
          <w:rFonts w:ascii="Georgia" w:hAnsi="Georgia" w:cs="Times New Roman"/>
          <w:sz w:val="20"/>
          <w:szCs w:val="20"/>
        </w:rPr>
        <w:t xml:space="preserve">Overall, a thorough understanding of the mechanism of resistance towards commonly used antibiotics could help inform prescription. Clinician’s cognisance </w:t>
      </w:r>
      <w:r w:rsidRPr="00B14A3B">
        <w:rPr>
          <w:rFonts w:ascii="Georgia" w:hAnsi="Georgia" w:cs="Times New Roman"/>
          <w:color w:val="000000"/>
          <w:sz w:val="20"/>
          <w:szCs w:val="20"/>
          <w:shd w:val="clear" w:color="auto" w:fill="FFFFFF"/>
        </w:rPr>
        <w:t xml:space="preserve">of the intrinsic and acquired resistance mechanism of the pathogens to antibiotics could facilitate accurate prescriptions. They should also be aware of the newer antibacterial β-lactams and </w:t>
      </w:r>
      <w:r w:rsidRPr="00B14A3B">
        <w:rPr>
          <w:rFonts w:ascii="Georgia" w:hAnsi="Georgia" w:cs="Times New Roman"/>
          <w:sz w:val="20"/>
          <w:szCs w:val="20"/>
        </w:rPr>
        <w:t xml:space="preserve">β-lactamase–inhibitor combinations like </w:t>
      </w:r>
      <w:r w:rsidRPr="00B14A3B">
        <w:rPr>
          <w:rFonts w:ascii="Georgia" w:hAnsi="Georgia" w:cs="Times New Roman"/>
          <w:color w:val="000000"/>
          <w:sz w:val="20"/>
          <w:szCs w:val="20"/>
          <w:shd w:val="clear" w:color="auto" w:fill="FFFFFF"/>
        </w:rPr>
        <w:t xml:space="preserve">Meropenem/Vaborbactam or Ceftolozane/Tazobactam as alternatives for treatment of complicated AMR cases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&lt;EndNote&gt;&lt;Cite&gt;&lt;Author&gt;Pandey&lt;/Author&gt;&lt;Year&gt;2019&lt;/Year&gt;&lt;RecNum&gt;573&lt;/RecNum&gt;&lt;DisplayText&gt;(28, 29)&lt;/DisplayText&gt;&lt;record&gt;&lt;rec-number&gt;573&lt;/rec-number&gt;&lt;foreign-keys&gt;&lt;key app="EN" db-id="zxvt9psxt9rdw9e9rf555s2jpswv95p5wppv" timestamp="1587294812" guid="dede1203-4ff6-4bfe-a4a1-9ddc1ba25a49"&gt;573&lt;/key&gt;&lt;/foreign-keys&gt;&lt;ref-type name="Book Section"&gt;5&lt;/ref-type&gt;&lt;contributors&gt;&lt;authors&gt;&lt;author&gt;Pandey, Neelanjana&lt;/author&gt;&lt;author&gt;Cascella, Marco&lt;/author&gt;&lt;/authors&gt;&lt;/contributors&gt;&lt;titles&gt;&lt;title&gt;Beta Lactam Antibiotics&lt;/title&gt;&lt;secondary-title&gt;StatPearls [Internet]&lt;/secondary-title&gt;&lt;/titles&gt;&lt;dates&gt;&lt;year&gt;2019&lt;/year&gt;&lt;/dates&gt;&lt;publisher&gt;StatPearls Publishing&lt;/publisher&gt;&lt;urls&gt;&lt;/urls&gt;&lt;/record&gt;&lt;/Cite&gt;&lt;Cite&gt;&lt;Author&gt;Marston&lt;/Author&gt;&lt;Year&gt;2016&lt;/Year&gt;&lt;RecNum&gt;574&lt;/RecNum&gt;&lt;record&gt;&lt;rec-number&gt;574&lt;/rec-number&gt;&lt;foreign-keys&gt;&lt;key app="EN" db-id="zxvt9psxt9rdw9e9rf555s2jpswv95p5wppv" timestamp="1587294869" guid="e5ca1e3d-873b-45d2-9511-5af342ff7253"&gt;574&lt;/key&gt;&lt;/foreign-keys&gt;&lt;ref-type name="Journal Article"&gt;17&lt;/ref-type&gt;&lt;contributors&gt;&lt;authors&gt;&lt;author&gt;Marston, Hilary D&lt;/author&gt;&lt;author&gt;Dixon, Dennis M&lt;/author&gt;&lt;author&gt;Knisely, Jane M&lt;/author&gt;&lt;author&gt;Palmore, Tara N&lt;/author&gt;&lt;author&gt;Fauci, Anthony S&lt;/author&gt;&lt;/authors&gt;&lt;/contributors&gt;&lt;titles&gt;&lt;title&gt;Antimicrobial resistance&lt;/title&gt;&lt;secondary-title&gt;Jama&lt;/secondary-title&gt;&lt;/titles&gt;&lt;periodical&gt;&lt;full-title&gt;JAMA&lt;/full-title&gt;&lt;/periodical&gt;&lt;pages&gt;1193-1204&lt;/pages&gt;&lt;volume&gt;316&lt;/volume&gt;&lt;number&gt;11&lt;/number&gt;&lt;dates&gt;&lt;year&gt;2016&lt;/year&gt;&lt;/dates&gt;&lt;isbn&gt;0098-7484&lt;/isbn&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(28, 29)</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Lastly,  the development of acquired resistance by pathogens, could largely be prevented by treating with the highest dose a  patient will be able to withstand, for the shortest duration required to terminate the infection </w:t>
      </w:r>
      <w:r w:rsidRPr="00B14A3B">
        <w:rPr>
          <w:rFonts w:ascii="Georgia" w:hAnsi="Georgia" w:cs="Times New Roman"/>
          <w:color w:val="000000"/>
          <w:sz w:val="20"/>
          <w:szCs w:val="20"/>
          <w:shd w:val="clear" w:color="auto" w:fill="FFFFFF"/>
        </w:rPr>
        <w:fldChar w:fldCharType="begin"/>
      </w:r>
      <w:r w:rsidRPr="00B14A3B">
        <w:rPr>
          <w:rFonts w:ascii="Georgia" w:hAnsi="Georgia" w:cs="Times New Roman"/>
          <w:color w:val="000000"/>
          <w:sz w:val="20"/>
          <w:szCs w:val="20"/>
          <w:shd w:val="clear" w:color="auto" w:fill="FFFFFF"/>
        </w:rPr>
        <w:instrText xml:space="preserve"> ADDIN EN.CITE &lt;EndNote&gt;&lt;Cite&gt;&lt;Author&gt;Exner&lt;/Author&gt;&lt;Year&gt;2017&lt;/Year&gt;&lt;RecNum&gt;572&lt;/RecNum&gt;&lt;DisplayText&gt;(30)&lt;/DisplayText&gt;&lt;record&gt;&lt;rec-number&gt;572&lt;/rec-number&gt;&lt;foreign-keys&gt;&lt;key app="EN" db-id="zxvt9psxt9rdw9e9rf555s2jpswv95p5wppv" timestamp="1587291008" guid="9bb57a30-66f9-4341-8ddd-1710e5ed3bc5"&gt;572&lt;/key&gt;&lt;/foreign-keys&gt;&lt;ref-type name="Journal Article"&gt;17&lt;/ref-type&gt;&lt;contributors&gt;&lt;authors&gt;&lt;author&gt;Exner, Martin&lt;/author&gt;&lt;author&gt;Bhattacharya, Sanjay&lt;/author&gt;&lt;author&gt;Christiansen, Bärbel&lt;/author&gt;&lt;author&gt;Gebel, Jürgen&lt;/author&gt;&lt;author&gt;Goroncy-Bermes, Peter&lt;/author&gt;&lt;author&gt;Hartemann, Philippe&lt;/author&gt;&lt;author&gt;Heeg, Peter&lt;/author&gt;&lt;author&gt;Ilschner, Carola&lt;/author&gt;&lt;author&gt;Kramer, Axel&lt;/author&gt;&lt;author&gt;Larson, Elaine&lt;/author&gt;&lt;/authors&gt;&lt;/contributors&gt;&lt;titles&gt;&lt;title&gt;Antibiotic resistance: What is so special about multidrug-resistant Gram-negative bacteria?&lt;/title&gt;&lt;secondary-title&gt;GMS hygiene and infection control&lt;/secondary-title&gt;&lt;/titles&gt;&lt;periodical&gt;&lt;full-title&gt;GMS hygiene and infection control&lt;/full-title&gt;&lt;/periodical&gt;&lt;volume&gt;12&lt;/volume&gt;&lt;dates&gt;&lt;year&gt;2017&lt;/year&gt;&lt;/dates&gt;&lt;urls&gt;&lt;/urls&gt;&lt;/record&gt;&lt;/Cite&gt;&lt;/EndNote&gt;</w:instrText>
      </w:r>
      <w:r w:rsidRPr="00B14A3B">
        <w:rPr>
          <w:rFonts w:ascii="Georgia" w:hAnsi="Georgia" w:cs="Times New Roman"/>
          <w:color w:val="000000"/>
          <w:sz w:val="20"/>
          <w:szCs w:val="20"/>
          <w:shd w:val="clear" w:color="auto" w:fill="FFFFFF"/>
        </w:rPr>
        <w:fldChar w:fldCharType="separate"/>
      </w:r>
      <w:r w:rsidRPr="00B14A3B">
        <w:rPr>
          <w:rFonts w:ascii="Georgia" w:hAnsi="Georgia" w:cs="Times New Roman"/>
          <w:noProof/>
          <w:color w:val="000000"/>
          <w:sz w:val="20"/>
          <w:szCs w:val="20"/>
          <w:shd w:val="clear" w:color="auto" w:fill="FFFFFF"/>
        </w:rPr>
        <w:t>(30)</w:t>
      </w:r>
      <w:r w:rsidRPr="00B14A3B">
        <w:rPr>
          <w:rFonts w:ascii="Georgia" w:hAnsi="Georgia" w:cs="Times New Roman"/>
          <w:color w:val="000000"/>
          <w:sz w:val="20"/>
          <w:szCs w:val="20"/>
          <w:shd w:val="clear" w:color="auto" w:fill="FFFFFF"/>
        </w:rPr>
        <w:fldChar w:fldCharType="end"/>
      </w:r>
      <w:r w:rsidRPr="00B14A3B">
        <w:rPr>
          <w:rFonts w:ascii="Georgia" w:hAnsi="Georgia" w:cs="Times New Roman"/>
          <w:color w:val="000000"/>
          <w:sz w:val="20"/>
          <w:szCs w:val="20"/>
          <w:shd w:val="clear" w:color="auto" w:fill="FFFFFF"/>
        </w:rPr>
        <w:t xml:space="preserve">. </w:t>
      </w:r>
    </w:p>
    <w:p w14:paraId="2DEEF7A6" w14:textId="1B6E3073" w:rsidR="00B14A3B" w:rsidRDefault="00B14A3B" w:rsidP="00B14A3B">
      <w:pPr>
        <w:spacing w:after="0" w:line="240" w:lineRule="auto"/>
        <w:jc w:val="both"/>
        <w:rPr>
          <w:rFonts w:ascii="Georgia" w:hAnsi="Georgia" w:cs="Times New Roman"/>
          <w:sz w:val="20"/>
          <w:szCs w:val="20"/>
        </w:rPr>
      </w:pPr>
      <w:r>
        <w:rPr>
          <w:rFonts w:ascii="Georgia" w:hAnsi="Georgia" w:cs="Times New Roman"/>
          <w:color w:val="000000"/>
          <w:sz w:val="20"/>
          <w:szCs w:val="20"/>
          <w:shd w:val="clear" w:color="auto" w:fill="FFFFFF"/>
        </w:rPr>
        <w:t xml:space="preserve">    </w:t>
      </w:r>
      <w:r w:rsidRPr="00B14A3B">
        <w:rPr>
          <w:rFonts w:ascii="Georgia" w:hAnsi="Georgia" w:cs="Times New Roman"/>
          <w:color w:val="000000"/>
          <w:sz w:val="20"/>
          <w:szCs w:val="20"/>
          <w:shd w:val="clear" w:color="auto" w:fill="FFFFFF"/>
        </w:rPr>
        <w:t xml:space="preserve">A limitation of this study is that </w:t>
      </w:r>
      <w:r w:rsidRPr="00B14A3B">
        <w:rPr>
          <w:rFonts w:ascii="Georgia" w:hAnsi="Georgia" w:cs="Times New Roman"/>
          <w:sz w:val="20"/>
          <w:szCs w:val="20"/>
        </w:rPr>
        <w:t xml:space="preserve">EpiWATCH exclusively relies on English in gathering data. The selection of articles in English introduces reporting </w:t>
      </w:r>
      <w:proofErr w:type="gramStart"/>
      <w:r w:rsidRPr="00B14A3B">
        <w:rPr>
          <w:rFonts w:ascii="Georgia" w:hAnsi="Georgia" w:cs="Times New Roman"/>
          <w:sz w:val="20"/>
          <w:szCs w:val="20"/>
        </w:rPr>
        <w:t>bias, and</w:t>
      </w:r>
      <w:proofErr w:type="gramEnd"/>
      <w:r w:rsidRPr="00B14A3B">
        <w:rPr>
          <w:rFonts w:ascii="Georgia" w:hAnsi="Georgia" w:cs="Times New Roman"/>
          <w:sz w:val="20"/>
          <w:szCs w:val="20"/>
        </w:rPr>
        <w:t xml:space="preserve"> could explain the predominance of reports from the USA. Besides language bias, some reports presented incomplete data, in particular for variables like the age </w:t>
      </w:r>
      <w:r w:rsidRPr="00B14A3B">
        <w:rPr>
          <w:rFonts w:ascii="Georgia" w:hAnsi="Georgia" w:cs="Times New Roman"/>
          <w:sz w:val="20"/>
          <w:szCs w:val="20"/>
        </w:rPr>
        <w:t xml:space="preserve">and gender of patients, together with omission of relevant clinical details. Moreover, there is also a potential for inter and intraobserver bias with the investigator conducting data entry, varying over the recording of AMR news events during extraction, filtration and presentation of reports. </w:t>
      </w:r>
    </w:p>
    <w:p w14:paraId="6225F808" w14:textId="2F7EA240" w:rsidR="00B14A3B" w:rsidRDefault="00B14A3B" w:rsidP="00B14A3B">
      <w:pPr>
        <w:spacing w:after="0" w:line="240" w:lineRule="auto"/>
        <w:jc w:val="both"/>
        <w:rPr>
          <w:rFonts w:ascii="Georgia" w:hAnsi="Georgia" w:cs="Times New Roman"/>
          <w:sz w:val="20"/>
          <w:szCs w:val="20"/>
        </w:rPr>
      </w:pPr>
      <w:r>
        <w:rPr>
          <w:rFonts w:ascii="Georgia" w:hAnsi="Georgia" w:cs="Times New Roman"/>
          <w:sz w:val="20"/>
          <w:szCs w:val="20"/>
        </w:rPr>
        <w:t xml:space="preserve">    </w:t>
      </w:r>
      <w:r w:rsidRPr="00B14A3B">
        <w:rPr>
          <w:rFonts w:ascii="Georgia" w:hAnsi="Georgia" w:cs="Times New Roman"/>
          <w:sz w:val="20"/>
          <w:szCs w:val="20"/>
        </w:rPr>
        <w:t>In conclusion, open source data is useful as an adjunct to attain complete and comprehensive information on AMR at a global level. EpiWATCH is user friendly, timely, rapid, flexible and low maintenance. The data is readily available and can be easily exchanged, compared and analysed. A system like EpiWATCH can be amalgamated with indicator-based surveillance systems to capture and disseminate data, for identifying action areas, especially in low resource countries, which lack the capacity to establish and maintain a surveillance system on AMR.</w:t>
      </w:r>
    </w:p>
    <w:p w14:paraId="28234133" w14:textId="33667FCB" w:rsidR="00137026" w:rsidRDefault="00137026" w:rsidP="00B14A3B">
      <w:pPr>
        <w:spacing w:after="0" w:line="240" w:lineRule="auto"/>
        <w:jc w:val="both"/>
        <w:rPr>
          <w:rFonts w:ascii="Georgia" w:hAnsi="Georgia" w:cs="Times New Roman"/>
          <w:sz w:val="20"/>
          <w:szCs w:val="20"/>
        </w:rPr>
      </w:pPr>
    </w:p>
    <w:p w14:paraId="04D4E35E" w14:textId="39374CDD" w:rsidR="00137026" w:rsidRPr="00137026" w:rsidRDefault="00137026" w:rsidP="00137026">
      <w:pPr>
        <w:tabs>
          <w:tab w:val="left" w:pos="142"/>
        </w:tabs>
        <w:spacing w:after="0" w:line="240" w:lineRule="auto"/>
        <w:jc w:val="both"/>
        <w:rPr>
          <w:rFonts w:ascii="Georgia" w:hAnsi="Georgia" w:cs="Times New Roman"/>
          <w:b/>
          <w:bCs/>
          <w:sz w:val="20"/>
          <w:szCs w:val="20"/>
        </w:rPr>
      </w:pPr>
      <w:r w:rsidRPr="002D3E66">
        <w:rPr>
          <w:rFonts w:ascii="Georgia" w:hAnsi="Georgia" w:cs="Times New Roman"/>
          <w:b/>
          <w:bCs/>
          <w:sz w:val="20"/>
          <w:szCs w:val="20"/>
        </w:rPr>
        <w:t>References</w:t>
      </w:r>
    </w:p>
    <w:p w14:paraId="6B5B4789"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Allcock S, Young E, Holmes M, Gurdasani D, Dougan G, Sandhu M, et al. Antimicrobial resistance in human populations: challenges and opportunities. Global health, epidemiology and genomics. 2017;2.</w:t>
      </w:r>
    </w:p>
    <w:p w14:paraId="27D4494F" w14:textId="77777777" w:rsidR="00137026" w:rsidRPr="002D3E66" w:rsidRDefault="00137026" w:rsidP="00137026">
      <w:pPr>
        <w:pStyle w:val="ListParagraph"/>
        <w:numPr>
          <w:ilvl w:val="0"/>
          <w:numId w:val="4"/>
        </w:numPr>
        <w:tabs>
          <w:tab w:val="left" w:pos="142"/>
        </w:tabs>
        <w:spacing w:after="0" w:line="240" w:lineRule="auto"/>
        <w:jc w:val="both"/>
        <w:rPr>
          <w:rFonts w:ascii="Georgia" w:eastAsia="Times New Roman Uni" w:hAnsi="Georgia" w:cs="Times New Roman"/>
          <w:sz w:val="20"/>
          <w:szCs w:val="20"/>
        </w:rPr>
      </w:pPr>
      <w:r w:rsidRPr="002D3E66">
        <w:rPr>
          <w:rFonts w:ascii="Georgia" w:hAnsi="Georgia"/>
          <w:sz w:val="20"/>
          <w:szCs w:val="20"/>
        </w:rPr>
        <w:t>Laxminarayan R, Duse A, Wattal C, Zaidi AK, Wertheim HF, Sumpradit N, et al. Antibiotic resistance—the need for global solutions. The Lancet infectious diseases. 2013;13(12):1057-98.</w:t>
      </w:r>
    </w:p>
    <w:p w14:paraId="160D1CF7"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Frost I, Van Boeckel TP, Pires J, Craig J, Laxminarayan R. Global geographic trends in antimicrobial resistance: the role of international travel. Journal of travel medicine. 2019.</w:t>
      </w:r>
    </w:p>
    <w:p w14:paraId="101CEB3A"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Aslam B, Wang W, Arshad MI, Khurshid M, Muzammil S, Rasool MH, et al. Antibiotic resistance: a rundown of a global crisis. Infection and drug resistance. 2018;11:1645.</w:t>
      </w:r>
    </w:p>
    <w:p w14:paraId="4078CC17" w14:textId="77777777" w:rsidR="00137026" w:rsidRPr="002D3E66" w:rsidRDefault="00137026" w:rsidP="00137026">
      <w:pPr>
        <w:pStyle w:val="ListParagraph"/>
        <w:numPr>
          <w:ilvl w:val="0"/>
          <w:numId w:val="4"/>
        </w:numPr>
        <w:tabs>
          <w:tab w:val="left" w:pos="142"/>
        </w:tabs>
        <w:spacing w:after="0" w:line="240" w:lineRule="auto"/>
        <w:jc w:val="both"/>
        <w:rPr>
          <w:rFonts w:ascii="Georgia" w:eastAsia="Times New Roman Uni" w:hAnsi="Georgia" w:cs="Times New Roman"/>
          <w:sz w:val="20"/>
          <w:szCs w:val="20"/>
        </w:rPr>
      </w:pPr>
      <w:r w:rsidRPr="002D3E66">
        <w:rPr>
          <w:rFonts w:ascii="Georgia" w:hAnsi="Georgia"/>
          <w:sz w:val="20"/>
          <w:szCs w:val="20"/>
        </w:rPr>
        <w:t>Lai C-C, Lee K, Xiao Y, Ahmad N, Veeraraghavan B, Thamlikitkul V, et al. High burden of antimicrobial drug resistance in Asia. Journal of Global Antimicrobial Resistance. 2014;2(3):141-7</w:t>
      </w:r>
    </w:p>
    <w:p w14:paraId="753A54C9"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Yam ELY, Hsu LY, Yap EP-H, Yeo TW, Lee V, Schlundt J, et al. Antimicrobial Resistance in the Asia Pacific region: a meeting report. BioMed Central; 2019.</w:t>
      </w:r>
    </w:p>
    <w:p w14:paraId="59D39954"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Lo CY-p, Thomas N. The macrosecuritization of antimicrobial resistance in Asia. Australian Journal of International Affairs. 2018;72(6):567-83.</w:t>
      </w:r>
    </w:p>
    <w:p w14:paraId="25AE2487"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MacGowan A, Macnaughton E. Antibiotic resistance. Medicine. 2017;45(10):622-8.</w:t>
      </w:r>
    </w:p>
    <w:p w14:paraId="24BC0FEF"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Prestinaci F, Pezzotti P, Pantosti A. Antimicrobial resistance: a global multifaceted phenomenon. Pathogens and global health. 2015;109(7):309-18.</w:t>
      </w:r>
    </w:p>
    <w:p w14:paraId="5DBC02D6"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 xml:space="preserve">Nithya BR, Gladstone BP, Rodríguez-Baño J, Sifakis F, Voss A, Carmeli Y, et al. EpideMiology and control measures of outBreaks due to Antibiotic-Resistant orGanisms in EurOpe </w:t>
      </w:r>
      <w:r w:rsidRPr="002D3E66">
        <w:rPr>
          <w:rFonts w:ascii="Georgia" w:hAnsi="Georgia"/>
          <w:sz w:val="20"/>
          <w:szCs w:val="20"/>
        </w:rPr>
        <w:lastRenderedPageBreak/>
        <w:t>(EMBARGO): a systematic review protocol. BMJ open. 2017;7(1):e013634.</w:t>
      </w:r>
    </w:p>
    <w:p w14:paraId="10C5C2BB"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Bax R, Bywater R, Cornaglia G, Goossens H, Hunter P, Isham V, et al. Surveillance of antimicrobial resistance—what, how and whither? Clinical Microbiology and Infection. 2001;7(6):316-25.</w:t>
      </w:r>
    </w:p>
    <w:p w14:paraId="0DCC447F"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Velasco E, Agheneza T, Denecke K, Kirchner G, Eckmanns T. Social media and internet</w:t>
      </w:r>
      <w:r w:rsidRPr="002D3E66">
        <w:rPr>
          <w:rFonts w:ascii="Cambria Math" w:hAnsi="Cambria Math" w:cs="Cambria Math"/>
          <w:sz w:val="20"/>
          <w:szCs w:val="20"/>
        </w:rPr>
        <w:t>‐</w:t>
      </w:r>
      <w:r w:rsidRPr="002D3E66">
        <w:rPr>
          <w:rFonts w:ascii="Georgia" w:hAnsi="Georgia"/>
          <w:sz w:val="20"/>
          <w:szCs w:val="20"/>
        </w:rPr>
        <w:t>based data in global systems for public health surveillance: a systematic review. The Milbank Quarterly. 2014;92(1):7-33.</w:t>
      </w:r>
    </w:p>
    <w:p w14:paraId="706C7754"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Organization WH. Global Antimicrobial Resistance Surveillance System (GLASS) Report: Early implementation 2016-2017. Geneva: WHO; 2017. 2019.</w:t>
      </w:r>
    </w:p>
    <w:p w14:paraId="0C2ABE64"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Karki S, Leder K, Cheng AC. Should we continue to isolate patients with vancomycin-resistant enterococci in hospitals. Med J Aust. 2015;202(5):234-6.</w:t>
      </w:r>
    </w:p>
    <w:p w14:paraId="5ED6B2F4"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Huang H, Ran J, Yang J, Li P, Zhuang G. Impact of MRSA Transmission and Infection in a Neonatal Intensive Care Unit in China: A Bundle Intervention Study during 2014-2017. BioMed research international. 2019;2019.</w:t>
      </w:r>
    </w:p>
    <w:p w14:paraId="6D9C366B"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Lin J, Liang J, Zhang T, Bai C, Ye J, Yao Z. Dose-response associations of methicillin-resistant Staphylococcus aureus between school environmental contamination and nasal carriage by elementary students. Infection and drug resistance. 2018;11:773.</w:t>
      </w:r>
    </w:p>
    <w:p w14:paraId="1CE0A9C6"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Dubey D, Rath S, Sahu MC, Pattnaik L, Debata NK, Padhy RN. Surveillance of infection status of drug resistant Staphylococcus aureus in an Indian teaching hospital. Asian Pacific journal of tropical disease. 2013;3(2):133-42.</w:t>
      </w:r>
    </w:p>
    <w:p w14:paraId="71DDD0FE"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Kaur DC, Chate SS. Study of antibiotic resistance pattern in methicillin resistant Staphylococcus aureus with special reference to newer antibiotic. Journal of global infectious diseases. 2015;7(2):78.</w:t>
      </w:r>
    </w:p>
    <w:p w14:paraId="65A785B9"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Finch R. Gram</w:t>
      </w:r>
      <w:r w:rsidRPr="002D3E66">
        <w:rPr>
          <w:rFonts w:ascii="Cambria Math" w:hAnsi="Cambria Math" w:cs="Cambria Math"/>
          <w:sz w:val="20"/>
          <w:szCs w:val="20"/>
        </w:rPr>
        <w:t>‐</w:t>
      </w:r>
      <w:r w:rsidRPr="002D3E66">
        <w:rPr>
          <w:rFonts w:ascii="Georgia" w:hAnsi="Georgia"/>
          <w:sz w:val="20"/>
          <w:szCs w:val="20"/>
        </w:rPr>
        <w:t>positive infections: lessons learnt and novel solutions. Clinical Microbiology and Infection. 2006;12:3-8.</w:t>
      </w:r>
    </w:p>
    <w:p w14:paraId="66C2084F" w14:textId="1B7E4291"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Pitout JD, Nordmann P, Poirel L. Carbapenemase-producing Klebsiella pneumoniae, a key pathogen set for global nosocomial dominance. Antimicrobial agents and chemotherapy. 2015;59(10):5873-84.</w:t>
      </w:r>
    </w:p>
    <w:p w14:paraId="3CC5B370"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Wong D, Nielsen TB, Bonomo RA, Pantapalangkoor P, Luna B, Spellberg B. Clinical and pathophysiological overview of Acinetobacter infections: a century of challenges. Clinical microbiology reviews. 2017;30(1):409-47.</w:t>
      </w:r>
    </w:p>
    <w:p w14:paraId="0781A961"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Isler B, Doi Y, Bonomo RA, Paterson DL. New treatment options against carbapenem-resistant Acinetobacter baumannii infections. Antimicrobial agents and chemotherapy. 2019;63(1):e01110-18.</w:t>
      </w:r>
    </w:p>
    <w:p w14:paraId="144BB1FA"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Kerr KG, Beggs CB, Dean SG, Thornton J, Donnelly JK, Todd NJ, et al. Air ionisation and colonisation/infection with methicillin-resistant Staphylococcus aureus and Acinetobacter species in an intensive care unit. Intensive care medicine. 2006;32(2):315-7.</w:t>
      </w:r>
    </w:p>
    <w:p w14:paraId="36F77F17"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Alpert PT. Superbugs: antibiotic resistance is becoming a major public health concern. Home Health Care Management &amp; Practice. 2017;29(2):130-3.</w:t>
      </w:r>
    </w:p>
    <w:p w14:paraId="4FD362D5"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Franco A, Leekitcharoenphon P, Feltrin F, Alba P, Cordaro G, Iurescia M, et al. Emergence of a clonal lineage of multidrug-resistant ESBL-producing Salmonella Infantis transmitted from broilers and broiler meat to humans in Italy between 2011 and 2014. PLoS One. 2015;10(12).</w:t>
      </w:r>
    </w:p>
    <w:p w14:paraId="7B83582C"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Hur J, Jawale C, Lee JH. Antimicrobial resistance of Salmonella isolated from food animals: A review. Food Research International. 2012;45(2):819-30.</w:t>
      </w:r>
    </w:p>
    <w:p w14:paraId="78DA852B"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Das JK, Hasan R, Zafar A, Ahmed I, Ikram A, Nizamuddin S, et al. Trends, associations, and antimicrobial resistance of Salmonella typhi and paratyphi in Pakistan. The American journal of tropical medicine and hygiene. 2018;99(3_Suppl):48-54.</w:t>
      </w:r>
    </w:p>
    <w:p w14:paraId="7233C61E"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Pandey N, Cascella M. Beta Lactam Antibiotics.  StatPearls [Internet]: StatPearls Publishing; 2019.</w:t>
      </w:r>
    </w:p>
    <w:p w14:paraId="474464B5" w14:textId="77777777" w:rsidR="00137026" w:rsidRPr="002D3E66" w:rsidRDefault="00137026" w:rsidP="00137026">
      <w:pPr>
        <w:pStyle w:val="EndNoteBibliography"/>
        <w:numPr>
          <w:ilvl w:val="0"/>
          <w:numId w:val="4"/>
        </w:numPr>
        <w:spacing w:after="0"/>
        <w:jc w:val="both"/>
        <w:rPr>
          <w:rFonts w:ascii="Georgia" w:hAnsi="Georgia"/>
          <w:sz w:val="20"/>
          <w:szCs w:val="20"/>
        </w:rPr>
      </w:pPr>
      <w:r w:rsidRPr="002D3E66">
        <w:rPr>
          <w:rFonts w:ascii="Georgia" w:hAnsi="Georgia"/>
          <w:sz w:val="20"/>
          <w:szCs w:val="20"/>
        </w:rPr>
        <w:t>Marston HD, Dixon DM, Knisely JM, Palmore TN, Fauci AS. Antimicrobial resistance. Jama. 2016;316(11):1193-204.</w:t>
      </w:r>
    </w:p>
    <w:p w14:paraId="098363BF" w14:textId="6BD4AA96" w:rsidR="00137026" w:rsidRDefault="00137026" w:rsidP="00137026">
      <w:pPr>
        <w:pStyle w:val="ListParagraph"/>
        <w:numPr>
          <w:ilvl w:val="0"/>
          <w:numId w:val="4"/>
        </w:numPr>
        <w:tabs>
          <w:tab w:val="left" w:pos="142"/>
        </w:tabs>
        <w:spacing w:after="0" w:line="240" w:lineRule="auto"/>
        <w:jc w:val="both"/>
        <w:rPr>
          <w:rFonts w:ascii="Georgia" w:hAnsi="Georgia"/>
          <w:sz w:val="20"/>
          <w:szCs w:val="20"/>
        </w:rPr>
        <w:sectPr w:rsidR="00137026" w:rsidSect="00B14A3B">
          <w:type w:val="continuous"/>
          <w:pgSz w:w="11906" w:h="16838"/>
          <w:pgMar w:top="1418" w:right="849" w:bottom="1560" w:left="851" w:header="426" w:footer="708" w:gutter="0"/>
          <w:cols w:num="2" w:space="284"/>
          <w:docGrid w:linePitch="360"/>
        </w:sectPr>
      </w:pPr>
      <w:r w:rsidRPr="002D3E66">
        <w:rPr>
          <w:rFonts w:ascii="Georgia" w:hAnsi="Georgia"/>
          <w:sz w:val="20"/>
          <w:szCs w:val="20"/>
        </w:rPr>
        <w:t>Exner M, Bhattacharya S, Christiansen B, Gebel J, Goroncy-Bermes P, Hartemann P, et al. Antibiotic resistance: What is so special about multidrug-resistant Gram-negative bacteria? GMS hygiene and infection control. 2017;12</w:t>
      </w:r>
    </w:p>
    <w:bookmarkEnd w:id="4"/>
    <w:p w14:paraId="3B1B5C00" w14:textId="710744B8" w:rsidR="00137026" w:rsidRDefault="00137026">
      <w:pPr>
        <w:rPr>
          <w:rFonts w:ascii="Georgia" w:hAnsi="Georgia" w:cs="Times New Roman"/>
          <w:b/>
          <w:bCs/>
          <w:sz w:val="20"/>
          <w:szCs w:val="20"/>
        </w:rPr>
      </w:pPr>
      <w:r>
        <w:rPr>
          <w:noProof/>
        </w:rPr>
        <mc:AlternateContent>
          <mc:Choice Requires="wps">
            <w:drawing>
              <wp:anchor distT="0" distB="0" distL="114300" distR="114300" simplePos="0" relativeHeight="251661316" behindDoc="0" locked="0" layoutInCell="1" allowOverlap="1" wp14:anchorId="56A8D87D" wp14:editId="441F133E">
                <wp:simplePos x="0" y="0"/>
                <wp:positionH relativeFrom="column">
                  <wp:posOffset>135400</wp:posOffset>
                </wp:positionH>
                <wp:positionV relativeFrom="paragraph">
                  <wp:posOffset>320254</wp:posOffset>
                </wp:positionV>
                <wp:extent cx="6484620" cy="1288415"/>
                <wp:effectExtent l="0" t="0" r="0" b="6985"/>
                <wp:wrapNone/>
                <wp:docPr id="13" name="Rectangle 13"/>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C3744B" id="Rectangle 13" o:spid="_x0000_s1026" style="position:absolute;margin-left:10.65pt;margin-top:25.2pt;width:510.6pt;height:101.45pt;z-index:2516613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2340" behindDoc="0" locked="0" layoutInCell="1" allowOverlap="1" wp14:anchorId="02ED3CF0" wp14:editId="011C04E9">
                <wp:simplePos x="0" y="0"/>
                <wp:positionH relativeFrom="column">
                  <wp:posOffset>131445</wp:posOffset>
                </wp:positionH>
                <wp:positionV relativeFrom="paragraph">
                  <wp:posOffset>325801</wp:posOffset>
                </wp:positionV>
                <wp:extent cx="6477000" cy="1256030"/>
                <wp:effectExtent l="0" t="0" r="0" b="127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23A53D60" w14:textId="77777777" w:rsidR="00137026" w:rsidRDefault="00137026" w:rsidP="00137026">
                            <w:pPr>
                              <w:rPr>
                                <w:rFonts w:ascii="Georgia" w:hAnsi="Georgia"/>
                                <w:i/>
                                <w:sz w:val="16"/>
                              </w:rPr>
                            </w:pPr>
                            <w:r>
                              <w:rPr>
                                <w:rFonts w:ascii="Georgia" w:hAnsi="Georgia"/>
                                <w:b/>
                                <w:sz w:val="16"/>
                              </w:rPr>
                              <w:t>How to cite this article</w:t>
                            </w:r>
                            <w:r>
                              <w:rPr>
                                <w:rFonts w:ascii="Georgia" w:hAnsi="Georgia"/>
                                <w:sz w:val="16"/>
                              </w:rPr>
                              <w:t xml:space="preserve">: </w:t>
                            </w:r>
                            <w:r w:rsidRPr="002D3E66">
                              <w:rPr>
                                <w:rFonts w:ascii="Georgia" w:hAnsi="Georgia"/>
                                <w:sz w:val="16"/>
                                <w:szCs w:val="16"/>
                              </w:rPr>
                              <w:t xml:space="preserve">Natolanda PP, Moa A &amp; Macintyre CR. Understanding the Trend and Distribution of Antimicrobial Resistance Using Event Based Surveillance System: EpiWatch. </w:t>
                            </w:r>
                            <w:r w:rsidRPr="002D3E66">
                              <w:rPr>
                                <w:rFonts w:ascii="Georgia" w:hAnsi="Georgia"/>
                                <w:i/>
                                <w:sz w:val="16"/>
                                <w:szCs w:val="16"/>
                              </w:rPr>
                              <w:t>Global Biosecurity, 2020; 1(4).</w:t>
                            </w:r>
                            <w:r w:rsidRPr="000F3DB0">
                              <w:rPr>
                                <w:rFonts w:ascii="Georgia" w:hAnsi="Georgia"/>
                                <w:sz w:val="14"/>
                              </w:rPr>
                              <w:tab/>
                            </w:r>
                            <w:r w:rsidRPr="00C20641">
                              <w:rPr>
                                <w:rFonts w:ascii="Georgia" w:hAnsi="Georgia"/>
                                <w:sz w:val="18"/>
                                <w:szCs w:val="24"/>
                              </w:rPr>
                              <w:tab/>
                            </w:r>
                            <w:r>
                              <w:rPr>
                                <w:rFonts w:ascii="Georgia" w:hAnsi="Georgia"/>
                                <w:i/>
                                <w:sz w:val="16"/>
                              </w:rPr>
                              <w:tab/>
                            </w:r>
                          </w:p>
                          <w:p w14:paraId="15304965" w14:textId="77777777" w:rsidR="00137026" w:rsidRDefault="00137026" w:rsidP="00137026">
                            <w:pPr>
                              <w:rPr>
                                <w:rFonts w:ascii="Georgia" w:hAnsi="Georgia"/>
                                <w:sz w:val="16"/>
                              </w:rPr>
                            </w:pPr>
                            <w:r>
                              <w:rPr>
                                <w:rFonts w:ascii="Georgia" w:hAnsi="Georgia"/>
                                <w:b/>
                                <w:sz w:val="16"/>
                              </w:rPr>
                              <w:t>Published</w:t>
                            </w:r>
                            <w:r>
                              <w:rPr>
                                <w:rFonts w:ascii="Georgia" w:hAnsi="Georgia"/>
                                <w:sz w:val="16"/>
                              </w:rPr>
                              <w:t>: July 2020</w:t>
                            </w:r>
                          </w:p>
                          <w:p w14:paraId="787C6009" w14:textId="77777777" w:rsidR="00137026" w:rsidRDefault="00137026" w:rsidP="00137026">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 xml:space="preserve">20 </w:t>
                            </w:r>
                            <w:r w:rsidRPr="004F71F8">
                              <w:rPr>
                                <w:rFonts w:ascii="Georgia" w:hAnsi="Georgia"/>
                                <w:sz w:val="16"/>
                              </w:rPr>
                              <w:t>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67D29E3" w14:textId="77777777" w:rsidR="00137026" w:rsidRDefault="00137026" w:rsidP="00137026">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D3CF0" id="_x0000_t202" coordsize="21600,21600" o:spt="202" path="m,l,21600r21600,l21600,xe">
                <v:stroke joinstyle="miter"/>
                <v:path gradientshapeok="t" o:connecttype="rect"/>
              </v:shapetype>
              <v:shape id="Text Box 217" o:spid="_x0000_s1026" type="#_x0000_t202" style="position:absolute;margin-left:10.35pt;margin-top:25.65pt;width:510pt;height:98.9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" filled="f" stroked="f">
                <v:textbox>
                  <w:txbxContent>
                    <w:p w14:paraId="23A53D60" w14:textId="77777777" w:rsidR="00137026" w:rsidRDefault="00137026" w:rsidP="00137026">
                      <w:pPr>
                        <w:rPr>
                          <w:rFonts w:ascii="Georgia" w:hAnsi="Georgia"/>
                          <w:i/>
                          <w:sz w:val="16"/>
                        </w:rPr>
                      </w:pPr>
                      <w:r>
                        <w:rPr>
                          <w:rFonts w:ascii="Georgia" w:hAnsi="Georgia"/>
                          <w:b/>
                          <w:sz w:val="16"/>
                        </w:rPr>
                        <w:t>How to cite this article</w:t>
                      </w:r>
                      <w:r>
                        <w:rPr>
                          <w:rFonts w:ascii="Georgia" w:hAnsi="Georgia"/>
                          <w:sz w:val="16"/>
                        </w:rPr>
                        <w:t xml:space="preserve">: </w:t>
                      </w:r>
                      <w:proofErr w:type="spellStart"/>
                      <w:r w:rsidRPr="002D3E66">
                        <w:rPr>
                          <w:rFonts w:ascii="Georgia" w:hAnsi="Georgia"/>
                          <w:sz w:val="16"/>
                          <w:szCs w:val="16"/>
                        </w:rPr>
                        <w:t>Natolanda</w:t>
                      </w:r>
                      <w:proofErr w:type="spellEnd"/>
                      <w:r w:rsidRPr="002D3E66">
                        <w:rPr>
                          <w:rFonts w:ascii="Georgia" w:hAnsi="Georgia"/>
                          <w:sz w:val="16"/>
                          <w:szCs w:val="16"/>
                        </w:rPr>
                        <w:t xml:space="preserve"> PP, Moa A &amp; Macintyre CR. Understanding the Trend and Distribution of Antimicrobial Resistance Using Event Based Surveillance System: </w:t>
                      </w:r>
                      <w:proofErr w:type="spellStart"/>
                      <w:r w:rsidRPr="002D3E66">
                        <w:rPr>
                          <w:rFonts w:ascii="Georgia" w:hAnsi="Georgia"/>
                          <w:sz w:val="16"/>
                          <w:szCs w:val="16"/>
                        </w:rPr>
                        <w:t>EpiWatch</w:t>
                      </w:r>
                      <w:proofErr w:type="spellEnd"/>
                      <w:r w:rsidRPr="002D3E66">
                        <w:rPr>
                          <w:rFonts w:ascii="Georgia" w:hAnsi="Georgia"/>
                          <w:sz w:val="16"/>
                          <w:szCs w:val="16"/>
                        </w:rPr>
                        <w:t xml:space="preserve">. </w:t>
                      </w:r>
                      <w:r w:rsidRPr="002D3E66">
                        <w:rPr>
                          <w:rFonts w:ascii="Georgia" w:hAnsi="Georgia"/>
                          <w:i/>
                          <w:sz w:val="16"/>
                          <w:szCs w:val="16"/>
                        </w:rPr>
                        <w:t>Global Biosecurity, 2020; 1(4).</w:t>
                      </w:r>
                      <w:r w:rsidRPr="000F3DB0">
                        <w:rPr>
                          <w:rFonts w:ascii="Georgia" w:hAnsi="Georgia"/>
                          <w:sz w:val="14"/>
                        </w:rPr>
                        <w:tab/>
                      </w:r>
                      <w:r w:rsidRPr="00C20641">
                        <w:rPr>
                          <w:rFonts w:ascii="Georgia" w:hAnsi="Georgia"/>
                          <w:sz w:val="18"/>
                          <w:szCs w:val="24"/>
                        </w:rPr>
                        <w:tab/>
                      </w:r>
                      <w:r>
                        <w:rPr>
                          <w:rFonts w:ascii="Georgia" w:hAnsi="Georgia"/>
                          <w:i/>
                          <w:sz w:val="16"/>
                        </w:rPr>
                        <w:tab/>
                      </w:r>
                    </w:p>
                    <w:p w14:paraId="15304965" w14:textId="77777777" w:rsidR="00137026" w:rsidRDefault="00137026" w:rsidP="00137026">
                      <w:pPr>
                        <w:rPr>
                          <w:rFonts w:ascii="Georgia" w:hAnsi="Georgia"/>
                          <w:sz w:val="16"/>
                        </w:rPr>
                      </w:pPr>
                      <w:r>
                        <w:rPr>
                          <w:rFonts w:ascii="Georgia" w:hAnsi="Georgia"/>
                          <w:b/>
                          <w:sz w:val="16"/>
                        </w:rPr>
                        <w:t>Published</w:t>
                      </w:r>
                      <w:r>
                        <w:rPr>
                          <w:rFonts w:ascii="Georgia" w:hAnsi="Georgia"/>
                          <w:sz w:val="16"/>
                        </w:rPr>
                        <w:t>: July 2020</w:t>
                      </w:r>
                    </w:p>
                    <w:p w14:paraId="787C6009" w14:textId="77777777" w:rsidR="00137026" w:rsidRDefault="00137026" w:rsidP="00137026">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Copyright © 20</w:t>
                      </w:r>
                      <w:r>
                        <w:rPr>
                          <w:rFonts w:ascii="Georgia" w:hAnsi="Georgia"/>
                          <w:sz w:val="16"/>
                        </w:rPr>
                        <w:t xml:space="preserve">20 </w:t>
                      </w:r>
                      <w:r w:rsidRPr="004F71F8">
                        <w:rPr>
                          <w:rFonts w:ascii="Georgia" w:hAnsi="Georgia"/>
                          <w:sz w:val="16"/>
                        </w:rPr>
                        <w:t>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67D29E3" w14:textId="77777777" w:rsidR="00137026" w:rsidRDefault="00137026" w:rsidP="00137026">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rFonts w:ascii="Georgia" w:hAnsi="Georgia" w:cs="Times New Roman"/>
          <w:b/>
          <w:bCs/>
          <w:sz w:val="20"/>
          <w:szCs w:val="20"/>
        </w:rPr>
        <w:br w:type="page"/>
      </w:r>
    </w:p>
    <w:p w14:paraId="1B0C4A2C" w14:textId="58A13281" w:rsidR="00A85C84" w:rsidRDefault="002D3E66" w:rsidP="00137026">
      <w:pPr>
        <w:spacing w:after="0" w:line="240" w:lineRule="auto"/>
        <w:jc w:val="center"/>
        <w:rPr>
          <w:rFonts w:ascii="Georgia" w:hAnsi="Georgia" w:cs="Times New Roman"/>
          <w:b/>
          <w:bCs/>
          <w:sz w:val="20"/>
          <w:szCs w:val="20"/>
        </w:rPr>
      </w:pPr>
      <w:r>
        <w:rPr>
          <w:rFonts w:ascii="Georgia" w:hAnsi="Georgia" w:cs="Times New Roman"/>
          <w:b/>
          <w:bCs/>
          <w:sz w:val="20"/>
          <w:szCs w:val="20"/>
        </w:rPr>
        <w:lastRenderedPageBreak/>
        <w:t>Appendix A</w:t>
      </w:r>
    </w:p>
    <w:p w14:paraId="59080163" w14:textId="77777777" w:rsidR="002D3E66" w:rsidRDefault="002D3E66" w:rsidP="00137026">
      <w:pPr>
        <w:spacing w:after="0" w:line="240" w:lineRule="auto"/>
        <w:rPr>
          <w:rFonts w:ascii="Georgia" w:hAnsi="Georgia" w:cs="Times New Roman"/>
          <w:b/>
          <w:bCs/>
          <w:color w:val="201F1E"/>
          <w:sz w:val="20"/>
          <w:szCs w:val="20"/>
          <w:bdr w:val="none" w:sz="0" w:space="0" w:color="auto" w:frame="1"/>
          <w:lang w:val="en-GB"/>
        </w:rPr>
      </w:pPr>
    </w:p>
    <w:p w14:paraId="2001768B" w14:textId="06628D8A" w:rsidR="002D3E66" w:rsidRPr="002D3E66" w:rsidRDefault="002D3E66" w:rsidP="002D3E66">
      <w:pPr>
        <w:spacing w:after="0" w:line="240" w:lineRule="auto"/>
        <w:jc w:val="center"/>
        <w:rPr>
          <w:rFonts w:ascii="Georgia" w:hAnsi="Georgia" w:cs="Times New Roman"/>
          <w:color w:val="201F1E"/>
          <w:sz w:val="20"/>
          <w:szCs w:val="20"/>
          <w:bdr w:val="none" w:sz="0" w:space="0" w:color="auto" w:frame="1"/>
          <w:lang w:val="en-GB"/>
        </w:rPr>
      </w:pPr>
      <w:r w:rsidRPr="002D3E66">
        <w:rPr>
          <w:rFonts w:ascii="Georgia" w:hAnsi="Georgia" w:cs="Times New Roman"/>
          <w:b/>
          <w:bCs/>
          <w:color w:val="201F1E"/>
          <w:sz w:val="20"/>
          <w:szCs w:val="20"/>
          <w:bdr w:val="none" w:sz="0" w:space="0" w:color="auto" w:frame="1"/>
          <w:lang w:val="en-GB"/>
        </w:rPr>
        <w:t>Figure 5.</w:t>
      </w:r>
      <w:r w:rsidRPr="002D3E66">
        <w:rPr>
          <w:rFonts w:ascii="Georgia" w:hAnsi="Georgia" w:cs="Times New Roman"/>
          <w:color w:val="201F1E"/>
          <w:sz w:val="20"/>
          <w:szCs w:val="20"/>
          <w:bdr w:val="none" w:sz="0" w:space="0" w:color="auto" w:frame="1"/>
          <w:lang w:val="en-GB"/>
        </w:rPr>
        <w:t xml:space="preserve"> Profile of the region wise distribution of pathogens in selected countries, 2016-2017, WHO</w:t>
      </w:r>
    </w:p>
    <w:p w14:paraId="56BC98A6" w14:textId="77777777" w:rsidR="002D3E66" w:rsidRDefault="002D3E66" w:rsidP="00A85C84">
      <w:pPr>
        <w:spacing w:after="0" w:line="240" w:lineRule="auto"/>
        <w:jc w:val="both"/>
        <w:rPr>
          <w:rFonts w:ascii="Georgia" w:hAnsi="Georgia" w:cs="Times New Roman"/>
          <w:sz w:val="20"/>
          <w:szCs w:val="20"/>
          <w:shd w:val="clear" w:color="auto" w:fill="FFFFFF"/>
        </w:rPr>
      </w:pPr>
    </w:p>
    <w:p w14:paraId="493008E4" w14:textId="26DD14B8" w:rsidR="002D3E66" w:rsidRPr="00137026" w:rsidRDefault="002D3E66" w:rsidP="00137026">
      <w:pPr>
        <w:spacing w:after="0" w:line="240" w:lineRule="auto"/>
        <w:jc w:val="center"/>
        <w:rPr>
          <w:rFonts w:ascii="Georgia" w:hAnsi="Georgia" w:cs="Times New Roman"/>
          <w:sz w:val="20"/>
          <w:szCs w:val="20"/>
          <w:shd w:val="clear" w:color="auto" w:fill="FFFFFF"/>
        </w:rPr>
      </w:pPr>
      <w:r>
        <w:rPr>
          <w:noProof/>
          <w:lang w:val="en-US"/>
        </w:rPr>
        <w:drawing>
          <wp:inline distT="0" distB="0" distL="0" distR="0" wp14:anchorId="1729C15C" wp14:editId="044BD740">
            <wp:extent cx="5816906" cy="4428781"/>
            <wp:effectExtent l="0" t="0" r="12700" b="16510"/>
            <wp:docPr id="5" name="Chart 5">
              <a:extLst xmlns:a="http://schemas.openxmlformats.org/drawingml/2006/main">
                <a:ext uri="{FF2B5EF4-FFF2-40B4-BE49-F238E27FC236}">
                  <a16:creationId xmlns:a16="http://schemas.microsoft.com/office/drawing/2014/main" id="{C7F3B8D4-53E4-4B13-8D6D-82E6E03863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FB9B37" w14:textId="05457C1C" w:rsidR="002D3E66" w:rsidRPr="00137026" w:rsidRDefault="002D3E66" w:rsidP="00137026">
      <w:pPr>
        <w:spacing w:after="0" w:line="240" w:lineRule="auto"/>
        <w:jc w:val="center"/>
        <w:rPr>
          <w:rFonts w:ascii="Georgia" w:hAnsi="Georgia" w:cs="Times New Roman"/>
          <w:color w:val="201F1E"/>
          <w:sz w:val="16"/>
          <w:szCs w:val="16"/>
          <w:bdr w:val="none" w:sz="0" w:space="0" w:color="auto" w:frame="1"/>
          <w:lang w:val="en-GB"/>
        </w:rPr>
      </w:pPr>
      <w:r w:rsidRPr="00137026">
        <w:rPr>
          <w:rFonts w:ascii="Georgia" w:hAnsi="Georgia" w:cs="Times New Roman"/>
          <w:color w:val="201F1E"/>
          <w:sz w:val="16"/>
          <w:szCs w:val="16"/>
          <w:bdr w:val="none" w:sz="0" w:space="0" w:color="auto" w:frame="1"/>
          <w:lang w:val="en-GB"/>
        </w:rPr>
        <w:t>*EMR -Eastern Mediterranean Region, WPR- Western Pacific Region, EUR – European Region, AMR- American Region, SEAR- South East Asia Region, AFR- African Region</w:t>
      </w:r>
    </w:p>
    <w:p w14:paraId="55B703EE" w14:textId="1CA7A585" w:rsidR="00137026" w:rsidRPr="00137026" w:rsidRDefault="00137026" w:rsidP="00137026">
      <w:pPr>
        <w:spacing w:after="0" w:line="240" w:lineRule="auto"/>
        <w:jc w:val="center"/>
        <w:rPr>
          <w:rFonts w:ascii="Georgia" w:hAnsi="Georgia" w:cs="Times New Roman"/>
          <w:color w:val="201F1E"/>
          <w:sz w:val="20"/>
          <w:szCs w:val="20"/>
          <w:bdr w:val="none" w:sz="0" w:space="0" w:color="auto" w:frame="1"/>
          <w:lang w:val="en-GB"/>
        </w:rPr>
      </w:pPr>
    </w:p>
    <w:p w14:paraId="242DDBEB" w14:textId="52037F8D" w:rsidR="002D3E66" w:rsidRDefault="002D3E66" w:rsidP="00137026">
      <w:pPr>
        <w:spacing w:after="0" w:line="240" w:lineRule="auto"/>
        <w:jc w:val="center"/>
        <w:rPr>
          <w:rFonts w:ascii="Georgia" w:hAnsi="Georgia" w:cs="Times New Roman"/>
          <w:color w:val="201F1E"/>
          <w:sz w:val="20"/>
          <w:szCs w:val="20"/>
          <w:bdr w:val="none" w:sz="0" w:space="0" w:color="auto" w:frame="1"/>
          <w:lang w:val="en-GB"/>
        </w:rPr>
      </w:pPr>
      <w:r w:rsidRPr="002D3E66">
        <w:rPr>
          <w:rFonts w:ascii="Georgia" w:hAnsi="Georgia" w:cs="Times New Roman"/>
          <w:b/>
          <w:bCs/>
          <w:color w:val="201F1E"/>
          <w:sz w:val="20"/>
          <w:szCs w:val="20"/>
          <w:bdr w:val="none" w:sz="0" w:space="0" w:color="auto" w:frame="1"/>
          <w:lang w:val="en-GB"/>
        </w:rPr>
        <w:t>Figure 6.</w:t>
      </w:r>
      <w:r w:rsidRPr="002D3E66">
        <w:rPr>
          <w:rFonts w:ascii="Georgia" w:hAnsi="Georgia" w:cs="Times New Roman"/>
          <w:color w:val="201F1E"/>
          <w:sz w:val="20"/>
          <w:szCs w:val="20"/>
          <w:bdr w:val="none" w:sz="0" w:space="0" w:color="auto" w:frame="1"/>
          <w:lang w:val="en-GB"/>
        </w:rPr>
        <w:t xml:space="preserve"> Profile of the region wise distribution of pathogens in selected countries, 2017-2018, WHO</w:t>
      </w:r>
    </w:p>
    <w:p w14:paraId="44C9D469" w14:textId="6B412C39" w:rsidR="002D3E66" w:rsidRDefault="00137026" w:rsidP="00137026">
      <w:pPr>
        <w:spacing w:after="0" w:line="240" w:lineRule="auto"/>
        <w:jc w:val="center"/>
        <w:rPr>
          <w:rFonts w:ascii="Georgia" w:hAnsi="Georgia" w:cs="Times New Roman"/>
          <w:color w:val="201F1E"/>
          <w:sz w:val="20"/>
          <w:szCs w:val="20"/>
          <w:bdr w:val="none" w:sz="0" w:space="0" w:color="auto" w:frame="1"/>
          <w:lang w:val="en-GB"/>
        </w:rPr>
      </w:pPr>
      <w:r>
        <w:rPr>
          <w:rFonts w:ascii="Georgia" w:hAnsi="Georgia" w:cs="Times New Roman"/>
          <w:noProof/>
          <w:sz w:val="20"/>
          <w:szCs w:val="20"/>
          <w:shd w:val="clear" w:color="auto" w:fill="FFFFFF"/>
        </w:rPr>
        <w:drawing>
          <wp:anchor distT="0" distB="0" distL="114300" distR="114300" simplePos="0" relativeHeight="251659268" behindDoc="0" locked="0" layoutInCell="1" allowOverlap="1" wp14:anchorId="0DC344E0" wp14:editId="70643F56">
            <wp:simplePos x="0" y="0"/>
            <wp:positionH relativeFrom="column">
              <wp:posOffset>737572</wp:posOffset>
            </wp:positionH>
            <wp:positionV relativeFrom="paragraph">
              <wp:posOffset>5363</wp:posOffset>
            </wp:positionV>
            <wp:extent cx="5150867" cy="3249976"/>
            <wp:effectExtent l="0" t="0" r="5715" b="1270"/>
            <wp:wrapSquare wrapText="bothSides"/>
            <wp:docPr id="12" name="Picture 12" descr="A picture containing implement, stationa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figure6.jpg"/>
                    <pic:cNvPicPr/>
                  </pic:nvPicPr>
                  <pic:blipFill>
                    <a:blip r:embed="rId16">
                      <a:extLst>
                        <a:ext uri="{28A0092B-C50C-407E-A947-70E740481C1C}">
                          <a14:useLocalDpi xmlns:a14="http://schemas.microsoft.com/office/drawing/2010/main" val="0"/>
                        </a:ext>
                      </a:extLst>
                    </a:blip>
                    <a:stretch>
                      <a:fillRect/>
                    </a:stretch>
                  </pic:blipFill>
                  <pic:spPr>
                    <a:xfrm>
                      <a:off x="0" y="0"/>
                      <a:ext cx="5150867" cy="3249976"/>
                    </a:xfrm>
                    <a:prstGeom prst="rect">
                      <a:avLst/>
                    </a:prstGeom>
                  </pic:spPr>
                </pic:pic>
              </a:graphicData>
            </a:graphic>
            <wp14:sizeRelH relativeFrom="page">
              <wp14:pctWidth>0</wp14:pctWidth>
            </wp14:sizeRelH>
            <wp14:sizeRelV relativeFrom="page">
              <wp14:pctHeight>0</wp14:pctHeight>
            </wp14:sizeRelV>
          </wp:anchor>
        </w:drawing>
      </w:r>
    </w:p>
    <w:p w14:paraId="3B7B16B1" w14:textId="0E5A99C5" w:rsidR="002D3E66" w:rsidRPr="002D3E66" w:rsidRDefault="002D3E66" w:rsidP="00137026">
      <w:pPr>
        <w:spacing w:after="0" w:line="240" w:lineRule="auto"/>
        <w:jc w:val="center"/>
        <w:rPr>
          <w:rFonts w:ascii="Georgia" w:hAnsi="Georgia" w:cs="Times New Roman"/>
          <w:sz w:val="20"/>
          <w:szCs w:val="20"/>
          <w:shd w:val="clear" w:color="auto" w:fill="FFFFFF"/>
        </w:rPr>
        <w:sectPr w:rsidR="002D3E66" w:rsidRPr="002D3E66" w:rsidSect="002D3E66">
          <w:type w:val="continuous"/>
          <w:pgSz w:w="11906" w:h="16838"/>
          <w:pgMar w:top="1418" w:right="849" w:bottom="1560" w:left="851" w:header="426" w:footer="708" w:gutter="0"/>
          <w:cols w:space="284"/>
          <w:docGrid w:linePitch="360"/>
        </w:sectPr>
      </w:pPr>
    </w:p>
    <w:p w14:paraId="4EA4D2E4" w14:textId="3B150EB3" w:rsidR="002D3E66" w:rsidRPr="002D3E66" w:rsidRDefault="002D3E66" w:rsidP="00137026">
      <w:pPr>
        <w:spacing w:after="0" w:line="240" w:lineRule="auto"/>
        <w:jc w:val="center"/>
        <w:rPr>
          <w:rFonts w:ascii="Georgia" w:hAnsi="Georgia" w:cs="Times New Roman"/>
          <w:sz w:val="20"/>
          <w:szCs w:val="20"/>
          <w:shd w:val="clear" w:color="auto" w:fill="FFFFFF"/>
        </w:rPr>
      </w:pPr>
    </w:p>
    <w:p w14:paraId="567917C9" w14:textId="02289BA1" w:rsidR="00A85C84" w:rsidRDefault="00A85C84" w:rsidP="00137026">
      <w:pPr>
        <w:spacing w:after="0" w:line="240" w:lineRule="auto"/>
        <w:jc w:val="center"/>
        <w:rPr>
          <w:rFonts w:ascii="Georgia" w:hAnsi="Georgia" w:cs="Times New Roman"/>
          <w:sz w:val="20"/>
          <w:szCs w:val="20"/>
          <w:shd w:val="clear" w:color="auto" w:fill="FFFFFF"/>
        </w:rPr>
      </w:pPr>
    </w:p>
    <w:p w14:paraId="4E6013D4" w14:textId="5206C0A0" w:rsidR="00A85C84" w:rsidRDefault="00A85C84" w:rsidP="00137026">
      <w:pPr>
        <w:spacing w:after="0" w:line="240" w:lineRule="auto"/>
        <w:jc w:val="center"/>
        <w:rPr>
          <w:rFonts w:ascii="Georgia" w:hAnsi="Georgia" w:cs="Times New Roman"/>
          <w:sz w:val="20"/>
          <w:szCs w:val="20"/>
          <w:shd w:val="clear" w:color="auto" w:fill="FFFFFF"/>
        </w:rPr>
      </w:pPr>
    </w:p>
    <w:p w14:paraId="3C6FC9B3" w14:textId="420E2349" w:rsidR="00A85C84" w:rsidRDefault="00A85C84" w:rsidP="00137026">
      <w:pPr>
        <w:spacing w:after="0" w:line="240" w:lineRule="auto"/>
        <w:jc w:val="center"/>
        <w:rPr>
          <w:rFonts w:ascii="Georgia" w:hAnsi="Georgia" w:cs="Times New Roman"/>
          <w:sz w:val="20"/>
          <w:szCs w:val="20"/>
          <w:shd w:val="clear" w:color="auto" w:fill="FFFFFF"/>
        </w:rPr>
      </w:pPr>
    </w:p>
    <w:p w14:paraId="4D40EF38" w14:textId="4F260C3D" w:rsidR="00A85C84" w:rsidRDefault="00A85C84" w:rsidP="00137026">
      <w:pPr>
        <w:spacing w:after="0" w:line="240" w:lineRule="auto"/>
        <w:jc w:val="center"/>
        <w:rPr>
          <w:rFonts w:ascii="Georgia" w:hAnsi="Georgia" w:cs="Times New Roman"/>
          <w:sz w:val="20"/>
          <w:szCs w:val="20"/>
          <w:shd w:val="clear" w:color="auto" w:fill="FFFFFF"/>
        </w:rPr>
      </w:pPr>
    </w:p>
    <w:p w14:paraId="01B05249" w14:textId="6EB07F11" w:rsidR="00A85C84" w:rsidRDefault="00A85C84" w:rsidP="00137026">
      <w:pPr>
        <w:spacing w:after="0" w:line="240" w:lineRule="auto"/>
        <w:jc w:val="center"/>
        <w:rPr>
          <w:rFonts w:ascii="Georgia" w:hAnsi="Georgia" w:cs="Times New Roman"/>
          <w:sz w:val="20"/>
          <w:szCs w:val="20"/>
          <w:shd w:val="clear" w:color="auto" w:fill="FFFFFF"/>
        </w:rPr>
      </w:pPr>
    </w:p>
    <w:p w14:paraId="23689C24" w14:textId="7F3ACFB7" w:rsidR="00A85C84" w:rsidRDefault="00A85C84" w:rsidP="00137026">
      <w:pPr>
        <w:spacing w:after="0" w:line="240" w:lineRule="auto"/>
        <w:jc w:val="center"/>
        <w:rPr>
          <w:rFonts w:ascii="Georgia" w:hAnsi="Georgia" w:cs="Times New Roman"/>
          <w:sz w:val="20"/>
          <w:szCs w:val="20"/>
          <w:shd w:val="clear" w:color="auto" w:fill="FFFFFF"/>
        </w:rPr>
      </w:pPr>
    </w:p>
    <w:p w14:paraId="0E3F99FE" w14:textId="39035827" w:rsidR="00A85C84" w:rsidRDefault="00A85C84" w:rsidP="00137026">
      <w:pPr>
        <w:spacing w:after="0" w:line="240" w:lineRule="auto"/>
        <w:jc w:val="center"/>
        <w:rPr>
          <w:rFonts w:ascii="Georgia" w:hAnsi="Georgia" w:cs="Times New Roman"/>
          <w:sz w:val="20"/>
          <w:szCs w:val="20"/>
          <w:shd w:val="clear" w:color="auto" w:fill="FFFFFF"/>
        </w:rPr>
      </w:pPr>
    </w:p>
    <w:p w14:paraId="50599075" w14:textId="1707AC80" w:rsidR="00A85C84" w:rsidRDefault="00A85C84" w:rsidP="00137026">
      <w:pPr>
        <w:spacing w:after="0" w:line="240" w:lineRule="auto"/>
        <w:jc w:val="center"/>
        <w:rPr>
          <w:rFonts w:ascii="Georgia" w:hAnsi="Georgia" w:cs="Times New Roman"/>
          <w:sz w:val="20"/>
          <w:szCs w:val="20"/>
          <w:shd w:val="clear" w:color="auto" w:fill="FFFFFF"/>
        </w:rPr>
      </w:pPr>
    </w:p>
    <w:p w14:paraId="1C7175BB" w14:textId="24431CA2" w:rsidR="00A85C84" w:rsidRDefault="00A85C84" w:rsidP="00137026">
      <w:pPr>
        <w:spacing w:after="0" w:line="240" w:lineRule="auto"/>
        <w:jc w:val="center"/>
        <w:rPr>
          <w:rFonts w:ascii="Georgia" w:hAnsi="Georgia" w:cs="Times New Roman"/>
          <w:sz w:val="20"/>
          <w:szCs w:val="20"/>
          <w:shd w:val="clear" w:color="auto" w:fill="FFFFFF"/>
        </w:rPr>
      </w:pPr>
    </w:p>
    <w:p w14:paraId="69F00780" w14:textId="385CB1C3" w:rsidR="00A85C84" w:rsidRDefault="00A85C84" w:rsidP="00137026">
      <w:pPr>
        <w:spacing w:after="0" w:line="240" w:lineRule="auto"/>
        <w:jc w:val="center"/>
        <w:rPr>
          <w:rFonts w:ascii="Georgia" w:hAnsi="Georgia" w:cs="Times New Roman"/>
          <w:sz w:val="20"/>
          <w:szCs w:val="20"/>
          <w:shd w:val="clear" w:color="auto" w:fill="FFFFFF"/>
        </w:rPr>
      </w:pPr>
    </w:p>
    <w:p w14:paraId="571C4DC5" w14:textId="77777777" w:rsidR="00A85C84" w:rsidRPr="00A85C84" w:rsidRDefault="00A85C84" w:rsidP="00137026">
      <w:pPr>
        <w:spacing w:after="0" w:line="240" w:lineRule="auto"/>
        <w:jc w:val="center"/>
        <w:rPr>
          <w:rFonts w:ascii="Georgia" w:hAnsi="Georgia" w:cs="Times New Roman"/>
          <w:sz w:val="20"/>
          <w:szCs w:val="20"/>
          <w:shd w:val="clear" w:color="auto" w:fill="FFFFFF"/>
        </w:rPr>
      </w:pPr>
    </w:p>
    <w:p w14:paraId="3304F58B" w14:textId="77777777" w:rsidR="00A85C84" w:rsidRDefault="00A85C84" w:rsidP="00137026">
      <w:pPr>
        <w:spacing w:after="0" w:line="240" w:lineRule="auto"/>
        <w:jc w:val="center"/>
        <w:rPr>
          <w:rFonts w:ascii="Georgia" w:hAnsi="Georgia" w:cs="Times New Roman"/>
          <w:color w:val="000000"/>
          <w:sz w:val="20"/>
          <w:szCs w:val="20"/>
          <w:shd w:val="clear" w:color="auto" w:fill="FFFFFF"/>
        </w:rPr>
      </w:pPr>
    </w:p>
    <w:p w14:paraId="6192CF85" w14:textId="5830075E" w:rsidR="00A85C84" w:rsidRDefault="00A85C84" w:rsidP="00137026">
      <w:pPr>
        <w:spacing w:after="0" w:line="240" w:lineRule="auto"/>
        <w:jc w:val="center"/>
        <w:rPr>
          <w:rFonts w:ascii="Georgia" w:hAnsi="Georgia" w:cs="Times New Roman"/>
          <w:color w:val="000000"/>
          <w:sz w:val="20"/>
          <w:szCs w:val="20"/>
          <w:shd w:val="clear" w:color="auto" w:fill="FFFFFF"/>
        </w:rPr>
      </w:pPr>
    </w:p>
    <w:p w14:paraId="45978A1F" w14:textId="619AB375" w:rsidR="00A85C84" w:rsidRDefault="00A85C84" w:rsidP="00137026">
      <w:pPr>
        <w:spacing w:after="0" w:line="240" w:lineRule="auto"/>
        <w:jc w:val="center"/>
        <w:rPr>
          <w:rFonts w:ascii="Georgia" w:hAnsi="Georgia" w:cs="Times New Roman"/>
          <w:color w:val="000000"/>
          <w:sz w:val="20"/>
          <w:szCs w:val="20"/>
          <w:shd w:val="clear" w:color="auto" w:fill="FFFFFF"/>
        </w:rPr>
      </w:pPr>
    </w:p>
    <w:p w14:paraId="06E37470" w14:textId="5EF69380" w:rsidR="00A85C84" w:rsidRDefault="00A85C84" w:rsidP="00137026">
      <w:pPr>
        <w:spacing w:after="0" w:line="240" w:lineRule="auto"/>
        <w:jc w:val="center"/>
        <w:rPr>
          <w:rFonts w:ascii="Georgia" w:hAnsi="Georgia" w:cs="Times New Roman"/>
          <w:color w:val="000000"/>
          <w:sz w:val="20"/>
          <w:szCs w:val="20"/>
          <w:shd w:val="clear" w:color="auto" w:fill="FFFFFF"/>
        </w:rPr>
      </w:pPr>
    </w:p>
    <w:p w14:paraId="348572C9" w14:textId="7E916853" w:rsidR="00A85C84" w:rsidRDefault="00A85C84" w:rsidP="00137026">
      <w:pPr>
        <w:spacing w:after="0" w:line="240" w:lineRule="auto"/>
        <w:jc w:val="center"/>
        <w:rPr>
          <w:rFonts w:ascii="Georgia" w:hAnsi="Georgia" w:cs="Times New Roman"/>
          <w:color w:val="000000"/>
          <w:sz w:val="20"/>
          <w:szCs w:val="20"/>
          <w:shd w:val="clear" w:color="auto" w:fill="FFFFFF"/>
        </w:rPr>
      </w:pPr>
    </w:p>
    <w:p w14:paraId="2B5C3A28" w14:textId="0C2FC9B4" w:rsidR="00A85C84" w:rsidRDefault="00A85C84" w:rsidP="00137026">
      <w:pPr>
        <w:spacing w:after="0" w:line="240" w:lineRule="auto"/>
        <w:jc w:val="center"/>
        <w:rPr>
          <w:rFonts w:ascii="Georgia" w:hAnsi="Georgia" w:cs="Times New Roman"/>
          <w:color w:val="000000"/>
          <w:sz w:val="20"/>
          <w:szCs w:val="20"/>
          <w:shd w:val="clear" w:color="auto" w:fill="FFFFFF"/>
        </w:rPr>
      </w:pPr>
    </w:p>
    <w:p w14:paraId="2059C892" w14:textId="2F705C23" w:rsidR="00A85C84" w:rsidRDefault="00A85C84" w:rsidP="00137026">
      <w:pPr>
        <w:spacing w:after="0" w:line="240" w:lineRule="auto"/>
        <w:jc w:val="center"/>
        <w:rPr>
          <w:rFonts w:ascii="Georgia" w:hAnsi="Georgia" w:cs="Times New Roman"/>
          <w:color w:val="000000"/>
          <w:sz w:val="20"/>
          <w:szCs w:val="20"/>
          <w:shd w:val="clear" w:color="auto" w:fill="FFFFFF"/>
        </w:rPr>
      </w:pPr>
    </w:p>
    <w:p w14:paraId="65E10FD6" w14:textId="77777777" w:rsidR="00B14A3B" w:rsidRDefault="00B14A3B" w:rsidP="00137026">
      <w:pPr>
        <w:spacing w:after="0" w:line="240" w:lineRule="auto"/>
        <w:jc w:val="center"/>
        <w:rPr>
          <w:rFonts w:ascii="Georgia" w:hAnsi="Georgia" w:cs="Times New Roman"/>
          <w:color w:val="000000"/>
          <w:sz w:val="20"/>
          <w:szCs w:val="20"/>
          <w:shd w:val="clear" w:color="auto" w:fill="FFFFFF"/>
        </w:rPr>
        <w:sectPr w:rsidR="00B14A3B" w:rsidSect="00B14A3B">
          <w:type w:val="continuous"/>
          <w:pgSz w:w="11906" w:h="16838"/>
          <w:pgMar w:top="1418" w:right="849" w:bottom="1560" w:left="851" w:header="426" w:footer="708" w:gutter="0"/>
          <w:cols w:num="2" w:space="284"/>
          <w:docGrid w:linePitch="360"/>
        </w:sectPr>
      </w:pPr>
    </w:p>
    <w:p w14:paraId="048B6F0E" w14:textId="6D4E9156" w:rsidR="00A85C84" w:rsidRDefault="00A85C84" w:rsidP="00137026">
      <w:pPr>
        <w:spacing w:after="0" w:line="240" w:lineRule="auto"/>
        <w:jc w:val="center"/>
        <w:rPr>
          <w:rFonts w:ascii="Georgia" w:hAnsi="Georgia" w:cs="Times New Roman"/>
          <w:color w:val="000000"/>
          <w:sz w:val="20"/>
          <w:szCs w:val="20"/>
          <w:shd w:val="clear" w:color="auto" w:fill="FFFFFF"/>
        </w:rPr>
      </w:pPr>
    </w:p>
    <w:p w14:paraId="733DBFBE" w14:textId="77777777" w:rsidR="00A85C84" w:rsidRPr="00A85C84" w:rsidRDefault="00A85C84" w:rsidP="00137026">
      <w:pPr>
        <w:spacing w:after="0" w:line="240" w:lineRule="auto"/>
        <w:jc w:val="center"/>
        <w:rPr>
          <w:rFonts w:ascii="Georgia" w:hAnsi="Georgia" w:cs="Times New Roman"/>
          <w:color w:val="000000"/>
          <w:sz w:val="20"/>
          <w:szCs w:val="20"/>
          <w:shd w:val="clear" w:color="auto" w:fill="FFFFFF"/>
        </w:rPr>
      </w:pPr>
    </w:p>
    <w:p w14:paraId="7F7572FD" w14:textId="77777777" w:rsidR="00A85C84" w:rsidRDefault="00A85C84" w:rsidP="00137026">
      <w:pPr>
        <w:tabs>
          <w:tab w:val="left" w:pos="142"/>
        </w:tabs>
        <w:spacing w:before="240" w:line="240" w:lineRule="auto"/>
        <w:jc w:val="center"/>
        <w:rPr>
          <w:rFonts w:ascii="Georgia" w:eastAsia="Times New Roman Uni" w:hAnsi="Georgia" w:cs="Times New Roman"/>
          <w:sz w:val="20"/>
          <w:szCs w:val="26"/>
        </w:rPr>
      </w:pPr>
    </w:p>
    <w:p w14:paraId="69F5AACF" w14:textId="60FA5AAC" w:rsidR="00A85C84" w:rsidRDefault="00A85C84" w:rsidP="00137026">
      <w:pPr>
        <w:tabs>
          <w:tab w:val="left" w:pos="142"/>
        </w:tabs>
        <w:spacing w:before="240" w:line="240" w:lineRule="auto"/>
        <w:jc w:val="center"/>
        <w:rPr>
          <w:rFonts w:ascii="Georgia" w:eastAsia="Times New Roman Uni" w:hAnsi="Georgia" w:cs="Times New Roman"/>
          <w:sz w:val="20"/>
          <w:szCs w:val="26"/>
        </w:rPr>
        <w:sectPr w:rsidR="00A85C84" w:rsidSect="00B14A3B">
          <w:type w:val="continuous"/>
          <w:pgSz w:w="11906" w:h="16838"/>
          <w:pgMar w:top="1418" w:right="849" w:bottom="1560" w:left="851" w:header="426" w:footer="708" w:gutter="0"/>
          <w:cols w:space="284"/>
          <w:docGrid w:linePitch="360"/>
        </w:sectPr>
      </w:pPr>
    </w:p>
    <w:p w14:paraId="484F4A51" w14:textId="4B72D9AF" w:rsidR="002D3E66" w:rsidRDefault="002D3E66" w:rsidP="00137026">
      <w:pPr>
        <w:tabs>
          <w:tab w:val="left" w:pos="142"/>
        </w:tabs>
        <w:spacing w:after="0" w:line="240" w:lineRule="auto"/>
        <w:ind w:left="360"/>
        <w:jc w:val="center"/>
        <w:rPr>
          <w:rFonts w:ascii="Georgia" w:eastAsia="Times New Roman Uni" w:hAnsi="Georgia" w:cs="Times New Roman"/>
          <w:sz w:val="20"/>
          <w:szCs w:val="20"/>
        </w:rPr>
      </w:pPr>
    </w:p>
    <w:p w14:paraId="3025D3A9" w14:textId="4F176EEC" w:rsidR="002D3E66" w:rsidRPr="002D3E66" w:rsidRDefault="002D3E66" w:rsidP="00137026">
      <w:pPr>
        <w:tabs>
          <w:tab w:val="left" w:pos="142"/>
        </w:tabs>
        <w:spacing w:after="0" w:line="240" w:lineRule="auto"/>
        <w:ind w:left="360"/>
        <w:jc w:val="center"/>
        <w:rPr>
          <w:rFonts w:ascii="Georgia" w:eastAsia="Times New Roman Uni" w:hAnsi="Georgia" w:cs="Times New Roman"/>
          <w:sz w:val="20"/>
          <w:szCs w:val="20"/>
        </w:rPr>
      </w:pPr>
    </w:p>
    <w:sectPr w:rsidR="002D3E66" w:rsidRPr="002D3E66" w:rsidSect="002D3E66">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FB4F9" w14:textId="77777777" w:rsidR="0019527A" w:rsidRDefault="0019527A" w:rsidP="005C2555">
      <w:pPr>
        <w:spacing w:after="0" w:line="240" w:lineRule="auto"/>
      </w:pPr>
      <w:r>
        <w:separator/>
      </w:r>
    </w:p>
  </w:endnote>
  <w:endnote w:type="continuationSeparator" w:id="0">
    <w:p w14:paraId="1B550870" w14:textId="77777777" w:rsidR="0019527A" w:rsidRDefault="0019527A" w:rsidP="005C2555">
      <w:pPr>
        <w:spacing w:after="0" w:line="240" w:lineRule="auto"/>
      </w:pPr>
      <w:r>
        <w:continuationSeparator/>
      </w:r>
    </w:p>
  </w:endnote>
  <w:endnote w:type="continuationNotice" w:id="1">
    <w:p w14:paraId="0D74478C" w14:textId="77777777" w:rsidR="0019527A" w:rsidRDefault="001952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597C9" w14:textId="77777777" w:rsidR="0019527A" w:rsidRDefault="0019527A" w:rsidP="005C2555">
      <w:pPr>
        <w:spacing w:after="0" w:line="240" w:lineRule="auto"/>
      </w:pPr>
      <w:r>
        <w:separator/>
      </w:r>
    </w:p>
  </w:footnote>
  <w:footnote w:type="continuationSeparator" w:id="0">
    <w:p w14:paraId="3BC590B9" w14:textId="77777777" w:rsidR="0019527A" w:rsidRDefault="0019527A" w:rsidP="005C2555">
      <w:pPr>
        <w:spacing w:after="0" w:line="240" w:lineRule="auto"/>
      </w:pPr>
      <w:r>
        <w:continuationSeparator/>
      </w:r>
    </w:p>
  </w:footnote>
  <w:footnote w:type="continuationNotice" w:id="1">
    <w:p w14:paraId="389BCE91" w14:textId="77777777" w:rsidR="0019527A" w:rsidRDefault="001952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699E4C6A" w:rsidR="00257C15" w:rsidRPr="000F3DB0"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2D3E66">
      <w:rPr>
        <w:rFonts w:ascii="Georgia" w:hAnsi="Georgia"/>
        <w:sz w:val="14"/>
      </w:rPr>
      <w:t xml:space="preserve">Natolanda PP, Moa A &amp; Macintyre CR. Understanding the Trend and Distribution of Antimicrobial Resistance Using Event Based Surveillance System: EpiWatch. </w:t>
    </w:r>
    <w:r w:rsidRPr="005B298D">
      <w:rPr>
        <w:rFonts w:ascii="Georgia" w:hAnsi="Georgia"/>
        <w:i/>
        <w:sz w:val="14"/>
      </w:rPr>
      <w:t>Global Biosecurity, 20</w:t>
    </w:r>
    <w:r w:rsidR="00FD3B1D">
      <w:rPr>
        <w:rFonts w:ascii="Georgia" w:hAnsi="Georgia"/>
        <w:i/>
        <w:sz w:val="14"/>
      </w:rPr>
      <w:t>20</w:t>
    </w:r>
    <w:r w:rsidRPr="005B298D">
      <w:rPr>
        <w:rFonts w:ascii="Georgia" w:hAnsi="Georgia"/>
        <w:i/>
        <w:sz w:val="14"/>
      </w:rPr>
      <w:t>; 1(</w:t>
    </w:r>
    <w:r w:rsidR="002D3E66">
      <w:rPr>
        <w:rFonts w:ascii="Georgia" w:hAnsi="Georgia"/>
        <w:i/>
        <w:sz w:val="14"/>
      </w:rPr>
      <w:t>4</w:t>
    </w:r>
    <w:r w:rsidRPr="005B298D">
      <w:rPr>
        <w:rFonts w:ascii="Georgia" w:hAnsi="Georgia"/>
        <w:i/>
        <w:sz w:val="14"/>
      </w:rPr>
      <w:t>).</w:t>
    </w: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29653967"/>
    <w:multiLevelType w:val="hybridMultilevel"/>
    <w:tmpl w:val="5A1AE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A7CFB"/>
    <w:rsid w:val="000F3DB0"/>
    <w:rsid w:val="00135CDB"/>
    <w:rsid w:val="00137026"/>
    <w:rsid w:val="0019527A"/>
    <w:rsid w:val="001B2F70"/>
    <w:rsid w:val="002044DC"/>
    <w:rsid w:val="002245F7"/>
    <w:rsid w:val="00245640"/>
    <w:rsid w:val="00257C15"/>
    <w:rsid w:val="002D3E66"/>
    <w:rsid w:val="002F14B0"/>
    <w:rsid w:val="002F50E9"/>
    <w:rsid w:val="00325048"/>
    <w:rsid w:val="0037281A"/>
    <w:rsid w:val="0038018F"/>
    <w:rsid w:val="0039211B"/>
    <w:rsid w:val="003C3567"/>
    <w:rsid w:val="00472E6E"/>
    <w:rsid w:val="004D11F2"/>
    <w:rsid w:val="004F2303"/>
    <w:rsid w:val="005248DF"/>
    <w:rsid w:val="005721A7"/>
    <w:rsid w:val="005B298D"/>
    <w:rsid w:val="005C2555"/>
    <w:rsid w:val="005D1B19"/>
    <w:rsid w:val="005E4472"/>
    <w:rsid w:val="00640A0E"/>
    <w:rsid w:val="006E1D28"/>
    <w:rsid w:val="00740EFF"/>
    <w:rsid w:val="00746BD6"/>
    <w:rsid w:val="00792E99"/>
    <w:rsid w:val="007E6241"/>
    <w:rsid w:val="007F5085"/>
    <w:rsid w:val="008453B8"/>
    <w:rsid w:val="00896ED1"/>
    <w:rsid w:val="008B4D2D"/>
    <w:rsid w:val="008B5961"/>
    <w:rsid w:val="008D4FB6"/>
    <w:rsid w:val="00916F03"/>
    <w:rsid w:val="0093693E"/>
    <w:rsid w:val="0096664F"/>
    <w:rsid w:val="009D16A1"/>
    <w:rsid w:val="00A03443"/>
    <w:rsid w:val="00A335A4"/>
    <w:rsid w:val="00A35B06"/>
    <w:rsid w:val="00A500DC"/>
    <w:rsid w:val="00A85C84"/>
    <w:rsid w:val="00B04EEB"/>
    <w:rsid w:val="00B14A3B"/>
    <w:rsid w:val="00B65927"/>
    <w:rsid w:val="00CD3760"/>
    <w:rsid w:val="00CE79D6"/>
    <w:rsid w:val="00D209B2"/>
    <w:rsid w:val="00DA7D13"/>
    <w:rsid w:val="00DE2DB1"/>
    <w:rsid w:val="00DF4ABA"/>
    <w:rsid w:val="00E04848"/>
    <w:rsid w:val="00E141C7"/>
    <w:rsid w:val="00E719B9"/>
    <w:rsid w:val="00EF1A8C"/>
    <w:rsid w:val="00F041EE"/>
    <w:rsid w:val="00FB0F9C"/>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BalloonText">
    <w:name w:val="Balloon Text"/>
    <w:basedOn w:val="Normal"/>
    <w:link w:val="BalloonTextChar"/>
    <w:uiPriority w:val="99"/>
    <w:semiHidden/>
    <w:unhideWhenUsed/>
    <w:rsid w:val="00135CD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5CDB"/>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A85C84"/>
    <w:rPr>
      <w:sz w:val="16"/>
      <w:szCs w:val="16"/>
    </w:rPr>
  </w:style>
  <w:style w:type="paragraph" w:styleId="CommentText">
    <w:name w:val="annotation text"/>
    <w:basedOn w:val="Normal"/>
    <w:link w:val="CommentTextChar"/>
    <w:uiPriority w:val="99"/>
    <w:semiHidden/>
    <w:unhideWhenUsed/>
    <w:rsid w:val="00A85C84"/>
    <w:pPr>
      <w:spacing w:line="240" w:lineRule="auto"/>
    </w:pPr>
    <w:rPr>
      <w:sz w:val="20"/>
      <w:szCs w:val="20"/>
      <w:lang w:val="en-IN"/>
    </w:rPr>
  </w:style>
  <w:style w:type="character" w:customStyle="1" w:styleId="CommentTextChar">
    <w:name w:val="Comment Text Char"/>
    <w:basedOn w:val="DefaultParagraphFont"/>
    <w:link w:val="CommentText"/>
    <w:uiPriority w:val="99"/>
    <w:semiHidden/>
    <w:rsid w:val="00A85C84"/>
    <w:rPr>
      <w:sz w:val="20"/>
      <w:szCs w:val="20"/>
      <w:lang w:val="en-IN"/>
    </w:rPr>
  </w:style>
  <w:style w:type="table" w:styleId="TableGrid">
    <w:name w:val="Table Grid"/>
    <w:basedOn w:val="TableNormal"/>
    <w:uiPriority w:val="39"/>
    <w:rsid w:val="00A85C84"/>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2D3E66"/>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2D3E66"/>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chart" Target="charts/chart4.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harsha\Documents\rp%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arsha\Documents\rp%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arsha\Documents\rp%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arsha\Documents\rp%20dat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[rp data.xlsx]Fig 1 c!PivotTable6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Number of reports and</a:t>
            </a:r>
            <a:r>
              <a:rPr lang="en-IN" baseline="0"/>
              <a:t> distribution of pathogens in reporting countries</a:t>
            </a:r>
            <a:endParaRPr lang="en-IN"/>
          </a:p>
        </c:rich>
      </c:tx>
      <c:layout>
        <c:manualLayout>
          <c:xMode val="edge"/>
          <c:yMode val="edge"/>
          <c:x val="0.11828126628575761"/>
          <c:y val="1.461988304093567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lumMod val="40000"/>
              <a:lumOff val="60000"/>
            </a:schemeClr>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9"/>
        <c:spPr>
          <a:solidFill>
            <a:srgbClr val="FF0000"/>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bg2">
              <a:lumMod val="75000"/>
            </a:schemeClr>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6"/>
        <c:spPr>
          <a:solidFill>
            <a:srgbClr val="D35DD3"/>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lumMod val="40000"/>
              <a:lumOff val="60000"/>
            </a:schemeClr>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8"/>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19"/>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0"/>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1"/>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2"/>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3"/>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4"/>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5"/>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6"/>
        <c:spPr>
          <a:solidFill>
            <a:srgbClr val="FF0000"/>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7"/>
        <c:spPr>
          <a:solidFill>
            <a:schemeClr val="bg2">
              <a:lumMod val="75000"/>
            </a:schemeClr>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8"/>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29"/>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0"/>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1"/>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2"/>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3"/>
        <c:spPr>
          <a:solidFill>
            <a:srgbClr val="D35DD3"/>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4"/>
        <c:spPr>
          <a:solidFill>
            <a:schemeClr val="accent1">
              <a:lumMod val="40000"/>
              <a:lumOff val="60000"/>
            </a:schemeClr>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5"/>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6"/>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7"/>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8"/>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39"/>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0"/>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1"/>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2"/>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3"/>
        <c:spPr>
          <a:solidFill>
            <a:srgbClr val="FF0000"/>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4"/>
        <c:spPr>
          <a:solidFill>
            <a:schemeClr val="bg2">
              <a:lumMod val="75000"/>
            </a:schemeClr>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5"/>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6"/>
        <c:spPr>
          <a:solidFill>
            <a:schemeClr val="accent1"/>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7"/>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8"/>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49"/>
        <c:spPr>
          <a:solidFill>
            <a:schemeClr val="accent2"/>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0"/>
        <c:spPr>
          <a:solidFill>
            <a:srgbClr val="D35DD3"/>
          </a:solidFill>
          <a:ln>
            <a:noFill/>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9.67237687366167E-2"/>
          <c:y val="0.12928400954653937"/>
          <c:w val="0.88614561027837258"/>
          <c:h val="0.33797323962189685"/>
        </c:manualLayout>
      </c:layout>
      <c:barChart>
        <c:barDir val="col"/>
        <c:grouping val="stacked"/>
        <c:varyColors val="0"/>
        <c:ser>
          <c:idx val="0"/>
          <c:order val="0"/>
          <c:tx>
            <c:strRef>
              <c:f>'Fig 1 c'!$B$3:$B$4</c:f>
              <c:strCache>
                <c:ptCount val="1"/>
                <c:pt idx="0">
                  <c:v>Candida Auris</c:v>
                </c:pt>
              </c:strCache>
            </c:strRef>
          </c:tx>
          <c:spPr>
            <a:solidFill>
              <a:schemeClr val="accent1">
                <a:lumMod val="40000"/>
                <a:lumOff val="6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c'!$B$5:$B$19</c:f>
              <c:numCache>
                <c:formatCode>General</c:formatCode>
                <c:ptCount val="14"/>
                <c:pt idx="13">
                  <c:v>5</c:v>
                </c:pt>
              </c:numCache>
            </c:numRef>
          </c:val>
          <c:extLst>
            <c:ext xmlns:c16="http://schemas.microsoft.com/office/drawing/2014/chart" uri="{C3380CC4-5D6E-409C-BE32-E72D297353CC}">
              <c16:uniqueId val="{00000000-586F-2E4C-B7F5-5CEA0807B590}"/>
            </c:ext>
          </c:extLst>
        </c:ser>
        <c:ser>
          <c:idx val="1"/>
          <c:order val="1"/>
          <c:tx>
            <c:strRef>
              <c:f>'Fig 1 c'!$C$3:$C$4</c:f>
              <c:strCache>
                <c:ptCount val="1"/>
                <c:pt idx="0">
                  <c:v>DR Acinetobacter</c:v>
                </c:pt>
              </c:strCache>
            </c:strRef>
          </c:tx>
          <c:spPr>
            <a:solidFill>
              <a:schemeClr val="accent4"/>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c'!$C$5:$C$19</c:f>
              <c:numCache>
                <c:formatCode>General</c:formatCode>
                <c:ptCount val="14"/>
                <c:pt idx="1">
                  <c:v>1</c:v>
                </c:pt>
                <c:pt idx="6">
                  <c:v>1</c:v>
                </c:pt>
                <c:pt idx="8">
                  <c:v>1</c:v>
                </c:pt>
              </c:numCache>
            </c:numRef>
          </c:val>
          <c:extLst>
            <c:ext xmlns:c16="http://schemas.microsoft.com/office/drawing/2014/chart" uri="{C3380CC4-5D6E-409C-BE32-E72D297353CC}">
              <c16:uniqueId val="{00000001-586F-2E4C-B7F5-5CEA0807B590}"/>
            </c:ext>
          </c:extLst>
        </c:ser>
        <c:ser>
          <c:idx val="2"/>
          <c:order val="2"/>
          <c:tx>
            <c:strRef>
              <c:f>'Fig 1 c'!$D$3:$D$4</c:f>
              <c:strCache>
                <c:ptCount val="1"/>
                <c:pt idx="0">
                  <c:v>DR Campylobacter</c:v>
                </c:pt>
              </c:strCache>
            </c:strRef>
          </c:tx>
          <c:spPr>
            <a:solidFill>
              <a:schemeClr val="accent6"/>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c'!$D$5:$D$19</c:f>
              <c:numCache>
                <c:formatCode>General</c:formatCode>
                <c:ptCount val="14"/>
                <c:pt idx="13">
                  <c:v>1</c:v>
                </c:pt>
              </c:numCache>
            </c:numRef>
          </c:val>
          <c:extLst>
            <c:ext xmlns:c16="http://schemas.microsoft.com/office/drawing/2014/chart" uri="{C3380CC4-5D6E-409C-BE32-E72D297353CC}">
              <c16:uniqueId val="{00000002-586F-2E4C-B7F5-5CEA0807B590}"/>
            </c:ext>
          </c:extLst>
        </c:ser>
        <c:ser>
          <c:idx val="3"/>
          <c:order val="3"/>
          <c:tx>
            <c:strRef>
              <c:f>'Fig 1 c'!$E$3:$E$4</c:f>
              <c:strCache>
                <c:ptCount val="1"/>
                <c:pt idx="0">
                  <c:v>DR Klebsiella </c:v>
                </c:pt>
              </c:strCache>
            </c:strRef>
          </c:tx>
          <c:spPr>
            <a:solidFill>
              <a:schemeClr val="accent2">
                <a:lumMod val="6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c'!$E$5:$E$19</c:f>
              <c:numCache>
                <c:formatCode>General</c:formatCode>
                <c:ptCount val="14"/>
                <c:pt idx="7">
                  <c:v>1</c:v>
                </c:pt>
                <c:pt idx="11">
                  <c:v>2</c:v>
                </c:pt>
              </c:numCache>
            </c:numRef>
          </c:val>
          <c:extLst>
            <c:ext xmlns:c16="http://schemas.microsoft.com/office/drawing/2014/chart" uri="{C3380CC4-5D6E-409C-BE32-E72D297353CC}">
              <c16:uniqueId val="{00000003-586F-2E4C-B7F5-5CEA0807B590}"/>
            </c:ext>
          </c:extLst>
        </c:ser>
        <c:ser>
          <c:idx val="4"/>
          <c:order val="4"/>
          <c:tx>
            <c:strRef>
              <c:f>'Fig 1 c'!$F$3:$F$4</c:f>
              <c:strCache>
                <c:ptCount val="1"/>
                <c:pt idx="0">
                  <c:v>DR Mycobacterium Tuberculosis</c:v>
                </c:pt>
              </c:strCache>
            </c:strRef>
          </c:tx>
          <c:spPr>
            <a:solidFill>
              <a:schemeClr val="accent4">
                <a:lumMod val="6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c'!$F$5:$F$19</c:f>
              <c:numCache>
                <c:formatCode>General</c:formatCode>
                <c:ptCount val="14"/>
                <c:pt idx="13">
                  <c:v>1</c:v>
                </c:pt>
              </c:numCache>
            </c:numRef>
          </c:val>
          <c:extLst>
            <c:ext xmlns:c16="http://schemas.microsoft.com/office/drawing/2014/chart" uri="{C3380CC4-5D6E-409C-BE32-E72D297353CC}">
              <c16:uniqueId val="{00000004-586F-2E4C-B7F5-5CEA0807B590}"/>
            </c:ext>
          </c:extLst>
        </c:ser>
        <c:ser>
          <c:idx val="5"/>
          <c:order val="5"/>
          <c:tx>
            <c:strRef>
              <c:f>'Fig 1 c'!$G$3:$G$4</c:f>
              <c:strCache>
                <c:ptCount val="1"/>
                <c:pt idx="0">
                  <c:v>DR Shigella</c:v>
                </c:pt>
              </c:strCache>
            </c:strRef>
          </c:tx>
          <c:spPr>
            <a:solidFill>
              <a:schemeClr val="accent6">
                <a:lumMod val="6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c'!$G$5:$G$19</c:f>
              <c:numCache>
                <c:formatCode>General</c:formatCode>
                <c:ptCount val="14"/>
                <c:pt idx="0">
                  <c:v>1</c:v>
                </c:pt>
              </c:numCache>
            </c:numRef>
          </c:val>
          <c:extLst>
            <c:ext xmlns:c16="http://schemas.microsoft.com/office/drawing/2014/chart" uri="{C3380CC4-5D6E-409C-BE32-E72D297353CC}">
              <c16:uniqueId val="{00000005-586F-2E4C-B7F5-5CEA0807B590}"/>
            </c:ext>
          </c:extLst>
        </c:ser>
        <c:ser>
          <c:idx val="6"/>
          <c:order val="6"/>
          <c:tx>
            <c:strRef>
              <c:f>'Fig 1 c'!$H$3:$H$4</c:f>
              <c:strCache>
                <c:ptCount val="1"/>
                <c:pt idx="0">
                  <c:v>DR E-coli</c:v>
                </c:pt>
              </c:strCache>
            </c:strRef>
          </c:tx>
          <c:spPr>
            <a:solidFill>
              <a:schemeClr val="accent2">
                <a:lumMod val="80000"/>
                <a:lumOff val="2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c'!$H$5:$H$19</c:f>
              <c:numCache>
                <c:formatCode>General</c:formatCode>
                <c:ptCount val="14"/>
                <c:pt idx="12">
                  <c:v>1</c:v>
                </c:pt>
                <c:pt idx="13">
                  <c:v>2</c:v>
                </c:pt>
              </c:numCache>
            </c:numRef>
          </c:val>
          <c:extLst>
            <c:ext xmlns:c16="http://schemas.microsoft.com/office/drawing/2014/chart" uri="{C3380CC4-5D6E-409C-BE32-E72D297353CC}">
              <c16:uniqueId val="{00000006-586F-2E4C-B7F5-5CEA0807B590}"/>
            </c:ext>
          </c:extLst>
        </c:ser>
        <c:ser>
          <c:idx val="7"/>
          <c:order val="7"/>
          <c:tx>
            <c:strRef>
              <c:f>'Fig 1 c'!$I$3:$I$4</c:f>
              <c:strCache>
                <c:ptCount val="1"/>
                <c:pt idx="0">
                  <c:v>Influenza virus </c:v>
                </c:pt>
              </c:strCache>
            </c:strRef>
          </c:tx>
          <c:spPr>
            <a:solidFill>
              <a:schemeClr val="accent4">
                <a:lumMod val="80000"/>
                <a:lumOff val="2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c'!$I$5:$I$19</c:f>
              <c:numCache>
                <c:formatCode>General</c:formatCode>
                <c:ptCount val="14"/>
                <c:pt idx="6">
                  <c:v>1</c:v>
                </c:pt>
              </c:numCache>
            </c:numRef>
          </c:val>
          <c:extLst>
            <c:ext xmlns:c16="http://schemas.microsoft.com/office/drawing/2014/chart" uri="{C3380CC4-5D6E-409C-BE32-E72D297353CC}">
              <c16:uniqueId val="{00000007-586F-2E4C-B7F5-5CEA0807B590}"/>
            </c:ext>
          </c:extLst>
        </c:ser>
        <c:ser>
          <c:idx val="8"/>
          <c:order val="8"/>
          <c:tx>
            <c:strRef>
              <c:f>'Fig 1 c'!$J$3:$J$4</c:f>
              <c:strCache>
                <c:ptCount val="1"/>
                <c:pt idx="0">
                  <c:v>MDR Neisseria gonorrhoeae</c:v>
                </c:pt>
              </c:strCache>
            </c:strRef>
          </c:tx>
          <c:spPr>
            <a:solidFill>
              <a:schemeClr val="accent6">
                <a:lumMod val="80000"/>
                <a:lumOff val="2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c'!$J$5:$J$19</c:f>
              <c:numCache>
                <c:formatCode>General</c:formatCode>
                <c:ptCount val="14"/>
                <c:pt idx="0">
                  <c:v>1</c:v>
                </c:pt>
                <c:pt idx="12">
                  <c:v>3</c:v>
                </c:pt>
              </c:numCache>
            </c:numRef>
          </c:val>
          <c:extLst>
            <c:ext xmlns:c16="http://schemas.microsoft.com/office/drawing/2014/chart" uri="{C3380CC4-5D6E-409C-BE32-E72D297353CC}">
              <c16:uniqueId val="{00000008-586F-2E4C-B7F5-5CEA0807B590}"/>
            </c:ext>
          </c:extLst>
        </c:ser>
        <c:ser>
          <c:idx val="9"/>
          <c:order val="9"/>
          <c:tx>
            <c:strRef>
              <c:f>'Fig 1 c'!$K$3:$K$4</c:f>
              <c:strCache>
                <c:ptCount val="1"/>
                <c:pt idx="0">
                  <c:v>MDR Salmonella</c:v>
                </c:pt>
              </c:strCache>
            </c:strRef>
          </c:tx>
          <c:spPr>
            <a:solidFill>
              <a:srgbClr val="FF0000"/>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c'!$K$5:$K$19</c:f>
              <c:numCache>
                <c:formatCode>General</c:formatCode>
                <c:ptCount val="14"/>
                <c:pt idx="13">
                  <c:v>7</c:v>
                </c:pt>
              </c:numCache>
            </c:numRef>
          </c:val>
          <c:extLst>
            <c:ext xmlns:c16="http://schemas.microsoft.com/office/drawing/2014/chart" uri="{C3380CC4-5D6E-409C-BE32-E72D297353CC}">
              <c16:uniqueId val="{00000009-586F-2E4C-B7F5-5CEA0807B590}"/>
            </c:ext>
          </c:extLst>
        </c:ser>
        <c:ser>
          <c:idx val="10"/>
          <c:order val="10"/>
          <c:tx>
            <c:strRef>
              <c:f>'Fig 1 c'!$L$3:$L$4</c:f>
              <c:strCache>
                <c:ptCount val="1"/>
                <c:pt idx="0">
                  <c:v>MDR Salmonella Typhi</c:v>
                </c:pt>
              </c:strCache>
            </c:strRef>
          </c:tx>
          <c:spPr>
            <a:solidFill>
              <a:schemeClr val="bg2">
                <a:lumMod val="75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c'!$L$5:$L$19</c:f>
              <c:numCache>
                <c:formatCode>General</c:formatCode>
                <c:ptCount val="14"/>
                <c:pt idx="0">
                  <c:v>1</c:v>
                </c:pt>
                <c:pt idx="10">
                  <c:v>1</c:v>
                </c:pt>
              </c:numCache>
            </c:numRef>
          </c:val>
          <c:extLst>
            <c:ext xmlns:c16="http://schemas.microsoft.com/office/drawing/2014/chart" uri="{C3380CC4-5D6E-409C-BE32-E72D297353CC}">
              <c16:uniqueId val="{0000000A-586F-2E4C-B7F5-5CEA0807B590}"/>
            </c:ext>
          </c:extLst>
        </c:ser>
        <c:ser>
          <c:idx val="11"/>
          <c:order val="11"/>
          <c:tx>
            <c:strRef>
              <c:f>'Fig 1 c'!$M$3:$M$4</c:f>
              <c:strCache>
                <c:ptCount val="1"/>
                <c:pt idx="0">
                  <c:v>MDR Shigella</c:v>
                </c:pt>
              </c:strCache>
            </c:strRef>
          </c:tx>
          <c:spPr>
            <a:solidFill>
              <a:schemeClr val="accent6">
                <a:lumMod val="8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c'!$M$5:$M$19</c:f>
              <c:numCache>
                <c:formatCode>General</c:formatCode>
                <c:ptCount val="14"/>
                <c:pt idx="12">
                  <c:v>1</c:v>
                </c:pt>
              </c:numCache>
            </c:numRef>
          </c:val>
          <c:extLst>
            <c:ext xmlns:c16="http://schemas.microsoft.com/office/drawing/2014/chart" uri="{C3380CC4-5D6E-409C-BE32-E72D297353CC}">
              <c16:uniqueId val="{0000000B-586F-2E4C-B7F5-5CEA0807B590}"/>
            </c:ext>
          </c:extLst>
        </c:ser>
        <c:ser>
          <c:idx val="12"/>
          <c:order val="12"/>
          <c:tx>
            <c:strRef>
              <c:f>'Fig 1 c'!$N$3:$N$4</c:f>
              <c:strCache>
                <c:ptCount val="1"/>
                <c:pt idx="0">
                  <c:v>DR Meningococcus </c:v>
                </c:pt>
              </c:strCache>
            </c:strRef>
          </c:tx>
          <c:spPr>
            <a:solidFill>
              <a:schemeClr val="accent1"/>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c'!$N$5:$N$19</c:f>
              <c:numCache>
                <c:formatCode>General</c:formatCode>
                <c:ptCount val="14"/>
                <c:pt idx="4">
                  <c:v>1</c:v>
                </c:pt>
              </c:numCache>
            </c:numRef>
          </c:val>
          <c:extLst>
            <c:ext xmlns:c16="http://schemas.microsoft.com/office/drawing/2014/chart" uri="{C3380CC4-5D6E-409C-BE32-E72D297353CC}">
              <c16:uniqueId val="{0000000C-586F-2E4C-B7F5-5CEA0807B590}"/>
            </c:ext>
          </c:extLst>
        </c:ser>
        <c:ser>
          <c:idx val="13"/>
          <c:order val="13"/>
          <c:tx>
            <c:strRef>
              <c:f>'Fig 1 c'!$O$3:$O$4</c:f>
              <c:strCache>
                <c:ptCount val="1"/>
                <c:pt idx="0">
                  <c:v>MRSA</c:v>
                </c:pt>
              </c:strCache>
            </c:strRef>
          </c:tx>
          <c:spPr>
            <a:solidFill>
              <a:srgbClr val="00FF00"/>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c'!$O$5:$O$19</c:f>
              <c:numCache>
                <c:formatCode>General</c:formatCode>
                <c:ptCount val="14"/>
                <c:pt idx="0">
                  <c:v>1</c:v>
                </c:pt>
                <c:pt idx="3">
                  <c:v>2</c:v>
                </c:pt>
                <c:pt idx="13">
                  <c:v>16</c:v>
                </c:pt>
              </c:numCache>
            </c:numRef>
          </c:val>
          <c:extLst>
            <c:ext xmlns:c16="http://schemas.microsoft.com/office/drawing/2014/chart" uri="{C3380CC4-5D6E-409C-BE32-E72D297353CC}">
              <c16:uniqueId val="{0000000D-586F-2E4C-B7F5-5CEA0807B590}"/>
            </c:ext>
          </c:extLst>
        </c:ser>
        <c:ser>
          <c:idx val="14"/>
          <c:order val="14"/>
          <c:tx>
            <c:strRef>
              <c:f>'Fig 1 c'!$P$3:$P$4</c:f>
              <c:strCache>
                <c:ptCount val="1"/>
                <c:pt idx="0">
                  <c:v>NDM-1 Carbapenemase producing Enterobacteriaceae</c:v>
                </c:pt>
              </c:strCache>
            </c:strRef>
          </c:tx>
          <c:spPr>
            <a:solidFill>
              <a:schemeClr val="accent6">
                <a:lumMod val="60000"/>
                <a:lumOff val="4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c'!$P$5:$P$19</c:f>
              <c:numCache>
                <c:formatCode>General</c:formatCode>
                <c:ptCount val="14"/>
                <c:pt idx="5">
                  <c:v>1</c:v>
                </c:pt>
              </c:numCache>
            </c:numRef>
          </c:val>
          <c:extLst>
            <c:ext xmlns:c16="http://schemas.microsoft.com/office/drawing/2014/chart" uri="{C3380CC4-5D6E-409C-BE32-E72D297353CC}">
              <c16:uniqueId val="{0000000E-586F-2E4C-B7F5-5CEA0807B590}"/>
            </c:ext>
          </c:extLst>
        </c:ser>
        <c:ser>
          <c:idx val="15"/>
          <c:order val="15"/>
          <c:tx>
            <c:strRef>
              <c:f>'Fig 1 c'!$Q$3:$Q$4</c:f>
              <c:strCache>
                <c:ptCount val="1"/>
                <c:pt idx="0">
                  <c:v>VRE</c:v>
                </c:pt>
              </c:strCache>
            </c:strRef>
          </c:tx>
          <c:spPr>
            <a:solidFill>
              <a:schemeClr val="accent2">
                <a:lumMod val="50000"/>
              </a:schemeClr>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c'!$Q$5:$Q$19</c:f>
              <c:numCache>
                <c:formatCode>General</c:formatCode>
                <c:ptCount val="14"/>
                <c:pt idx="0">
                  <c:v>1</c:v>
                </c:pt>
                <c:pt idx="2">
                  <c:v>1</c:v>
                </c:pt>
                <c:pt idx="9">
                  <c:v>1</c:v>
                </c:pt>
              </c:numCache>
            </c:numRef>
          </c:val>
          <c:extLst>
            <c:ext xmlns:c16="http://schemas.microsoft.com/office/drawing/2014/chart" uri="{C3380CC4-5D6E-409C-BE32-E72D297353CC}">
              <c16:uniqueId val="{0000000F-586F-2E4C-B7F5-5CEA0807B590}"/>
            </c:ext>
          </c:extLst>
        </c:ser>
        <c:ser>
          <c:idx val="16"/>
          <c:order val="16"/>
          <c:tx>
            <c:strRef>
              <c:f>'Fig 1 c'!$R$3:$R$4</c:f>
              <c:strCache>
                <c:ptCount val="1"/>
                <c:pt idx="0">
                  <c:v>XDR Salmonella Typhi</c:v>
                </c:pt>
              </c:strCache>
            </c:strRef>
          </c:tx>
          <c:spPr>
            <a:solidFill>
              <a:srgbClr val="D35DD3"/>
            </a:solidFill>
            <a:ln>
              <a:noFill/>
            </a:ln>
            <a:effectLst/>
          </c:spPr>
          <c:invertIfNegative val="0"/>
          <c:cat>
            <c:strRef>
              <c:f>'Fig 1 c'!$A$5:$A$19</c:f>
              <c:strCache>
                <c:ptCount val="14"/>
                <c:pt idx="0">
                  <c:v>Australia</c:v>
                </c:pt>
                <c:pt idx="1">
                  <c:v>Belgium</c:v>
                </c:pt>
                <c:pt idx="2">
                  <c:v>Canada</c:v>
                </c:pt>
                <c:pt idx="3">
                  <c:v>England </c:v>
                </c:pt>
                <c:pt idx="4">
                  <c:v>Fiji</c:v>
                </c:pt>
                <c:pt idx="5">
                  <c:v>Italy</c:v>
                </c:pt>
                <c:pt idx="6">
                  <c:v>Japan</c:v>
                </c:pt>
                <c:pt idx="7">
                  <c:v>Kenya</c:v>
                </c:pt>
                <c:pt idx="8">
                  <c:v>Mexico</c:v>
                </c:pt>
                <c:pt idx="9">
                  <c:v>New Zealand </c:v>
                </c:pt>
                <c:pt idx="10">
                  <c:v>Pakistan</c:v>
                </c:pt>
                <c:pt idx="11">
                  <c:v>South Africa</c:v>
                </c:pt>
                <c:pt idx="12">
                  <c:v>UK </c:v>
                </c:pt>
                <c:pt idx="13">
                  <c:v>USA</c:v>
                </c:pt>
              </c:strCache>
            </c:strRef>
          </c:cat>
          <c:val>
            <c:numRef>
              <c:f>'Fig 1 c'!$R$5:$R$19</c:f>
              <c:numCache>
                <c:formatCode>General</c:formatCode>
                <c:ptCount val="14"/>
                <c:pt idx="10">
                  <c:v>3</c:v>
                </c:pt>
                <c:pt idx="13">
                  <c:v>1</c:v>
                </c:pt>
              </c:numCache>
            </c:numRef>
          </c:val>
          <c:extLst>
            <c:ext xmlns:c16="http://schemas.microsoft.com/office/drawing/2014/chart" uri="{C3380CC4-5D6E-409C-BE32-E72D297353CC}">
              <c16:uniqueId val="{00000010-586F-2E4C-B7F5-5CEA0807B590}"/>
            </c:ext>
          </c:extLst>
        </c:ser>
        <c:dLbls>
          <c:showLegendKey val="0"/>
          <c:showVal val="0"/>
          <c:showCatName val="0"/>
          <c:showSerName val="0"/>
          <c:showPercent val="0"/>
          <c:showBubbleSize val="0"/>
        </c:dLbls>
        <c:gapWidth val="150"/>
        <c:overlap val="100"/>
        <c:axId val="2113828728"/>
        <c:axId val="2132625336"/>
      </c:barChart>
      <c:catAx>
        <c:axId val="21138287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Reporting countries and 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625336"/>
        <c:crosses val="autoZero"/>
        <c:auto val="1"/>
        <c:lblAlgn val="ctr"/>
        <c:lblOffset val="100"/>
        <c:noMultiLvlLbl val="0"/>
      </c:catAx>
      <c:valAx>
        <c:axId val="21326253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a:t>
                </a:r>
                <a:r>
                  <a:rPr lang="en-IN" baseline="0"/>
                  <a:t> of reports</a:t>
                </a:r>
                <a:endParaRPr lang="en-IN"/>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3828728"/>
        <c:crosses val="autoZero"/>
        <c:crossBetween val="between"/>
      </c:valAx>
      <c:spPr>
        <a:noFill/>
        <a:ln>
          <a:noFill/>
        </a:ln>
        <a:effectLst/>
      </c:spPr>
    </c:plotArea>
    <c:legend>
      <c:legendPos val="b"/>
      <c:layout>
        <c:manualLayout>
          <c:xMode val="edge"/>
          <c:yMode val="edge"/>
          <c:x val="4.8090559077227308E-3"/>
          <c:y val="0.67055897782303464"/>
          <c:w val="0.96832011522025452"/>
          <c:h val="0.320904957302872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EpiWATCH antimicrobial non-susceptible pathogen combination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09270216962524E-2"/>
          <c:y val="9.7849708100471611E-2"/>
          <c:w val="0.88375933777508575"/>
          <c:h val="0.35399518002202224"/>
        </c:manualLayout>
      </c:layout>
      <c:areaChart>
        <c:grouping val="standard"/>
        <c:varyColors val="0"/>
        <c:ser>
          <c:idx val="0"/>
          <c:order val="0"/>
          <c:tx>
            <c:strRef>
              <c:f>drugs!$C$118:$C$120</c:f>
              <c:strCache>
                <c:ptCount val="3"/>
                <c:pt idx="1">
                  <c:v>E-coli</c:v>
                </c:pt>
              </c:strCache>
            </c:strRef>
          </c:tx>
          <c:spPr>
            <a:solidFill>
              <a:srgbClr val="FF33CC"/>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drugs!$C$121:$C$165</c:f>
              <c:numCache>
                <c:formatCode>General</c:formatCode>
                <c:ptCount val="45"/>
                <c:pt idx="3">
                  <c:v>1</c:v>
                </c:pt>
                <c:pt idx="5">
                  <c:v>1</c:v>
                </c:pt>
                <c:pt idx="8">
                  <c:v>2</c:v>
                </c:pt>
                <c:pt idx="14">
                  <c:v>1</c:v>
                </c:pt>
                <c:pt idx="15">
                  <c:v>1</c:v>
                </c:pt>
                <c:pt idx="18">
                  <c:v>1</c:v>
                </c:pt>
                <c:pt idx="24">
                  <c:v>1</c:v>
                </c:pt>
                <c:pt idx="28">
                  <c:v>1</c:v>
                </c:pt>
                <c:pt idx="32">
                  <c:v>1</c:v>
                </c:pt>
              </c:numCache>
            </c:numRef>
          </c:val>
          <c:extLst>
            <c:ext xmlns:c16="http://schemas.microsoft.com/office/drawing/2014/chart" uri="{C3380CC4-5D6E-409C-BE32-E72D297353CC}">
              <c16:uniqueId val="{00000000-5FD5-6347-B8DD-3760A0283604}"/>
            </c:ext>
          </c:extLst>
        </c:ser>
        <c:ser>
          <c:idx val="1"/>
          <c:order val="1"/>
          <c:tx>
            <c:strRef>
              <c:f>drugs!$D$118:$D$120</c:f>
              <c:strCache>
                <c:ptCount val="3"/>
                <c:pt idx="1">
                  <c:v>MRSA</c:v>
                </c:pt>
              </c:strCache>
            </c:strRef>
          </c:tx>
          <c:spPr>
            <a:solidFill>
              <a:schemeClr val="accent6">
                <a:lumMod val="60000"/>
                <a:lumOff val="40000"/>
              </a:schemeClr>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drugs!$D$121:$D$165</c:f>
              <c:numCache>
                <c:formatCode>General</c:formatCode>
                <c:ptCount val="45"/>
                <c:pt idx="1">
                  <c:v>18</c:v>
                </c:pt>
                <c:pt idx="2">
                  <c:v>18</c:v>
                </c:pt>
                <c:pt idx="3">
                  <c:v>18</c:v>
                </c:pt>
                <c:pt idx="5">
                  <c:v>18</c:v>
                </c:pt>
              </c:numCache>
            </c:numRef>
          </c:val>
          <c:extLst>
            <c:ext xmlns:c16="http://schemas.microsoft.com/office/drawing/2014/chart" uri="{C3380CC4-5D6E-409C-BE32-E72D297353CC}">
              <c16:uniqueId val="{00000001-5FD5-6347-B8DD-3760A0283604}"/>
            </c:ext>
          </c:extLst>
        </c:ser>
        <c:ser>
          <c:idx val="2"/>
          <c:order val="2"/>
          <c:tx>
            <c:strRef>
              <c:f>drugs!$E$118:$E$120</c:f>
              <c:strCache>
                <c:ptCount val="3"/>
                <c:pt idx="1">
                  <c:v>VRE</c:v>
                </c:pt>
              </c:strCache>
            </c:strRef>
          </c:tx>
          <c:spPr>
            <a:solidFill>
              <a:schemeClr val="accent3"/>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drugs!$E$121:$E$165</c:f>
              <c:numCache>
                <c:formatCode>General</c:formatCode>
                <c:ptCount val="45"/>
                <c:pt idx="3">
                  <c:v>1</c:v>
                </c:pt>
                <c:pt idx="8">
                  <c:v>3</c:v>
                </c:pt>
              </c:numCache>
            </c:numRef>
          </c:val>
          <c:extLst>
            <c:ext xmlns:c16="http://schemas.microsoft.com/office/drawing/2014/chart" uri="{C3380CC4-5D6E-409C-BE32-E72D297353CC}">
              <c16:uniqueId val="{00000002-5FD5-6347-B8DD-3760A0283604}"/>
            </c:ext>
          </c:extLst>
        </c:ser>
        <c:ser>
          <c:idx val="3"/>
          <c:order val="3"/>
          <c:tx>
            <c:strRef>
              <c:f>drugs!$F$118:$F$120</c:f>
              <c:strCache>
                <c:ptCount val="3"/>
                <c:pt idx="1">
                  <c:v>Candida Aureus</c:v>
                </c:pt>
              </c:strCache>
            </c:strRef>
          </c:tx>
          <c:spPr>
            <a:solidFill>
              <a:schemeClr val="accent4"/>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drugs!$F$121:$F$165</c:f>
              <c:numCache>
                <c:formatCode>General</c:formatCode>
                <c:ptCount val="45"/>
                <c:pt idx="24">
                  <c:v>1</c:v>
                </c:pt>
                <c:pt idx="40">
                  <c:v>1</c:v>
                </c:pt>
                <c:pt idx="41">
                  <c:v>1</c:v>
                </c:pt>
                <c:pt idx="42">
                  <c:v>1</c:v>
                </c:pt>
              </c:numCache>
            </c:numRef>
          </c:val>
          <c:extLst>
            <c:ext xmlns:c16="http://schemas.microsoft.com/office/drawing/2014/chart" uri="{C3380CC4-5D6E-409C-BE32-E72D297353CC}">
              <c16:uniqueId val="{00000003-5FD5-6347-B8DD-3760A0283604}"/>
            </c:ext>
          </c:extLst>
        </c:ser>
        <c:ser>
          <c:idx val="4"/>
          <c:order val="4"/>
          <c:tx>
            <c:strRef>
              <c:f>drugs!$G$118:$G$120</c:f>
              <c:strCache>
                <c:ptCount val="3"/>
                <c:pt idx="1">
                  <c:v>DR influenza</c:v>
                </c:pt>
              </c:strCache>
            </c:strRef>
          </c:tx>
          <c:spPr>
            <a:solidFill>
              <a:schemeClr val="accent5"/>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drugs!$G$121:$G$165</c:f>
              <c:numCache>
                <c:formatCode>General</c:formatCode>
                <c:ptCount val="45"/>
                <c:pt idx="37">
                  <c:v>1</c:v>
                </c:pt>
              </c:numCache>
            </c:numRef>
          </c:val>
          <c:extLst>
            <c:ext xmlns:c16="http://schemas.microsoft.com/office/drawing/2014/chart" uri="{C3380CC4-5D6E-409C-BE32-E72D297353CC}">
              <c16:uniqueId val="{00000004-5FD5-6347-B8DD-3760A0283604}"/>
            </c:ext>
          </c:extLst>
        </c:ser>
        <c:ser>
          <c:idx val="5"/>
          <c:order val="5"/>
          <c:tx>
            <c:strRef>
              <c:f>drugs!$H$118:$H$120</c:f>
              <c:strCache>
                <c:ptCount val="3"/>
                <c:pt idx="1">
                  <c:v>Salmonella typhi</c:v>
                </c:pt>
              </c:strCache>
            </c:strRef>
          </c:tx>
          <c:spPr>
            <a:solidFill>
              <a:srgbClr val="FF0000"/>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drugs!$H$121:$H$165</c:f>
              <c:numCache>
                <c:formatCode>General</c:formatCode>
                <c:ptCount val="45"/>
                <c:pt idx="1">
                  <c:v>5</c:v>
                </c:pt>
                <c:pt idx="2">
                  <c:v>2</c:v>
                </c:pt>
                <c:pt idx="15">
                  <c:v>5</c:v>
                </c:pt>
                <c:pt idx="18">
                  <c:v>5</c:v>
                </c:pt>
                <c:pt idx="24">
                  <c:v>2</c:v>
                </c:pt>
              </c:numCache>
            </c:numRef>
          </c:val>
          <c:extLst>
            <c:ext xmlns:c16="http://schemas.microsoft.com/office/drawing/2014/chart" uri="{C3380CC4-5D6E-409C-BE32-E72D297353CC}">
              <c16:uniqueId val="{00000005-5FD5-6347-B8DD-3760A0283604}"/>
            </c:ext>
          </c:extLst>
        </c:ser>
        <c:ser>
          <c:idx val="6"/>
          <c:order val="6"/>
          <c:tx>
            <c:strRef>
              <c:f>drugs!$I$118:$I$120</c:f>
              <c:strCache>
                <c:ptCount val="3"/>
                <c:pt idx="1">
                  <c:v>Salmonella</c:v>
                </c:pt>
              </c:strCache>
            </c:strRef>
          </c:tx>
          <c:spPr>
            <a:solidFill>
              <a:srgbClr val="FFFF00"/>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drugs!$I$121:$I$165</c:f>
              <c:numCache>
                <c:formatCode>General</c:formatCode>
                <c:ptCount val="45"/>
                <c:pt idx="1">
                  <c:v>4</c:v>
                </c:pt>
                <c:pt idx="2">
                  <c:v>4</c:v>
                </c:pt>
                <c:pt idx="14">
                  <c:v>7</c:v>
                </c:pt>
                <c:pt idx="15">
                  <c:v>3</c:v>
                </c:pt>
                <c:pt idx="17">
                  <c:v>1</c:v>
                </c:pt>
                <c:pt idx="18">
                  <c:v>2</c:v>
                </c:pt>
                <c:pt idx="24">
                  <c:v>3</c:v>
                </c:pt>
                <c:pt idx="32">
                  <c:v>5</c:v>
                </c:pt>
              </c:numCache>
            </c:numRef>
          </c:val>
          <c:extLst>
            <c:ext xmlns:c16="http://schemas.microsoft.com/office/drawing/2014/chart" uri="{C3380CC4-5D6E-409C-BE32-E72D297353CC}">
              <c16:uniqueId val="{00000006-5FD5-6347-B8DD-3760A0283604}"/>
            </c:ext>
          </c:extLst>
        </c:ser>
        <c:ser>
          <c:idx val="7"/>
          <c:order val="7"/>
          <c:tx>
            <c:strRef>
              <c:f>drugs!$J$118:$J$120</c:f>
              <c:strCache>
                <c:ptCount val="3"/>
                <c:pt idx="1">
                  <c:v>Campylobacter</c:v>
                </c:pt>
              </c:strCache>
            </c:strRef>
          </c:tx>
          <c:spPr>
            <a:solidFill>
              <a:srgbClr val="4FD62A"/>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drugs!$J$121:$J$165</c:f>
              <c:numCache>
                <c:formatCode>General</c:formatCode>
                <c:ptCount val="45"/>
                <c:pt idx="1">
                  <c:v>1</c:v>
                </c:pt>
                <c:pt idx="17">
                  <c:v>1</c:v>
                </c:pt>
              </c:numCache>
            </c:numRef>
          </c:val>
          <c:extLst>
            <c:ext xmlns:c16="http://schemas.microsoft.com/office/drawing/2014/chart" uri="{C3380CC4-5D6E-409C-BE32-E72D297353CC}">
              <c16:uniqueId val="{00000007-5FD5-6347-B8DD-3760A0283604}"/>
            </c:ext>
          </c:extLst>
        </c:ser>
        <c:ser>
          <c:idx val="8"/>
          <c:order val="8"/>
          <c:tx>
            <c:strRef>
              <c:f>drugs!$K$118:$K$120</c:f>
              <c:strCache>
                <c:ptCount val="3"/>
                <c:pt idx="1">
                  <c:v>N gonnorhoea</c:v>
                </c:pt>
              </c:strCache>
            </c:strRef>
          </c:tx>
          <c:spPr>
            <a:solidFill>
              <a:schemeClr val="accent3">
                <a:lumMod val="60000"/>
              </a:schemeClr>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drugs!$K$121:$K$165</c:f>
              <c:numCache>
                <c:formatCode>General</c:formatCode>
                <c:ptCount val="45"/>
                <c:pt idx="2">
                  <c:v>3</c:v>
                </c:pt>
                <c:pt idx="17">
                  <c:v>2</c:v>
                </c:pt>
              </c:numCache>
            </c:numRef>
          </c:val>
          <c:extLst>
            <c:ext xmlns:c16="http://schemas.microsoft.com/office/drawing/2014/chart" uri="{C3380CC4-5D6E-409C-BE32-E72D297353CC}">
              <c16:uniqueId val="{00000008-5FD5-6347-B8DD-3760A0283604}"/>
            </c:ext>
          </c:extLst>
        </c:ser>
        <c:ser>
          <c:idx val="9"/>
          <c:order val="9"/>
          <c:tx>
            <c:strRef>
              <c:f>drugs!$L$118:$L$120</c:f>
              <c:strCache>
                <c:ptCount val="3"/>
                <c:pt idx="1">
                  <c:v>Meningococus</c:v>
                </c:pt>
              </c:strCache>
            </c:strRef>
          </c:tx>
          <c:spPr>
            <a:solidFill>
              <a:schemeClr val="accent4">
                <a:lumMod val="60000"/>
              </a:schemeClr>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drugs!$L$121:$L$165</c:f>
              <c:numCache>
                <c:formatCode>General</c:formatCode>
                <c:ptCount val="45"/>
                <c:pt idx="1">
                  <c:v>2</c:v>
                </c:pt>
                <c:pt idx="24">
                  <c:v>1</c:v>
                </c:pt>
              </c:numCache>
            </c:numRef>
          </c:val>
          <c:extLst>
            <c:ext xmlns:c16="http://schemas.microsoft.com/office/drawing/2014/chart" uri="{C3380CC4-5D6E-409C-BE32-E72D297353CC}">
              <c16:uniqueId val="{00000009-5FD5-6347-B8DD-3760A0283604}"/>
            </c:ext>
          </c:extLst>
        </c:ser>
        <c:ser>
          <c:idx val="10"/>
          <c:order val="10"/>
          <c:tx>
            <c:strRef>
              <c:f>drugs!$M$118:$M$120</c:f>
              <c:strCache>
                <c:ptCount val="3"/>
                <c:pt idx="1">
                  <c:v>Klebsiella</c:v>
                </c:pt>
              </c:strCache>
            </c:strRef>
          </c:tx>
          <c:spPr>
            <a:solidFill>
              <a:schemeClr val="bg2">
                <a:lumMod val="10000"/>
              </a:schemeClr>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drugs!$M$121:$M$165</c:f>
              <c:numCache>
                <c:formatCode>General</c:formatCode>
                <c:ptCount val="45"/>
                <c:pt idx="3">
                  <c:v>1</c:v>
                </c:pt>
                <c:pt idx="8">
                  <c:v>2</c:v>
                </c:pt>
              </c:numCache>
            </c:numRef>
          </c:val>
          <c:extLst>
            <c:ext xmlns:c16="http://schemas.microsoft.com/office/drawing/2014/chart" uri="{C3380CC4-5D6E-409C-BE32-E72D297353CC}">
              <c16:uniqueId val="{0000000A-5FD5-6347-B8DD-3760A0283604}"/>
            </c:ext>
          </c:extLst>
        </c:ser>
        <c:ser>
          <c:idx val="11"/>
          <c:order val="11"/>
          <c:tx>
            <c:strRef>
              <c:f>drugs!$N$118:$N$120</c:f>
              <c:strCache>
                <c:ptCount val="3"/>
                <c:pt idx="1">
                  <c:v>NDM-1 Carbapenemase producing Enterobacteriaceae</c:v>
                </c:pt>
              </c:strCache>
            </c:strRef>
          </c:tx>
          <c:spPr>
            <a:solidFill>
              <a:schemeClr val="accent2">
                <a:lumMod val="75000"/>
              </a:schemeClr>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drugs!$N$121:$N$165</c:f>
              <c:numCache>
                <c:formatCode>General</c:formatCode>
                <c:ptCount val="45"/>
                <c:pt idx="1">
                  <c:v>2</c:v>
                </c:pt>
              </c:numCache>
            </c:numRef>
          </c:val>
          <c:extLst>
            <c:ext xmlns:c16="http://schemas.microsoft.com/office/drawing/2014/chart" uri="{C3380CC4-5D6E-409C-BE32-E72D297353CC}">
              <c16:uniqueId val="{0000000B-5FD5-6347-B8DD-3760A0283604}"/>
            </c:ext>
          </c:extLst>
        </c:ser>
        <c:ser>
          <c:idx val="12"/>
          <c:order val="12"/>
          <c:tx>
            <c:strRef>
              <c:f>drugs!$O$118:$O$120</c:f>
              <c:strCache>
                <c:ptCount val="3"/>
                <c:pt idx="1">
                  <c:v>Shigella</c:v>
                </c:pt>
              </c:strCache>
            </c:strRef>
          </c:tx>
          <c:spPr>
            <a:solidFill>
              <a:schemeClr val="accent1">
                <a:lumMod val="80000"/>
                <a:lumOff val="20000"/>
              </a:schemeClr>
            </a:solidFill>
            <a:ln>
              <a:noFill/>
            </a:ln>
            <a:effectLst/>
          </c:spPr>
          <c:cat>
            <c:strRef>
              <c:f>drugs!$B$121:$B$165</c:f>
              <c:strCache>
                <c:ptCount val="43"/>
                <c:pt idx="0">
                  <c:v>β lactams </c:v>
                </c:pt>
                <c:pt idx="1">
                  <c:v>Penicillins</c:v>
                </c:pt>
                <c:pt idx="2">
                  <c:v>Cephalosporins</c:v>
                </c:pt>
                <c:pt idx="3">
                  <c:v>Carbapenem </c:v>
                </c:pt>
                <c:pt idx="4">
                  <c:v>Monobactam</c:v>
                </c:pt>
                <c:pt idx="5">
                  <c:v>β lactam inhibitors </c:v>
                </c:pt>
                <c:pt idx="7">
                  <c:v>non lactam</c:v>
                </c:pt>
                <c:pt idx="8">
                  <c:v>Glycopepetides(vancomcin)</c:v>
                </c:pt>
                <c:pt idx="13">
                  <c:v>Inhibit 30s Subunit</c:v>
                </c:pt>
                <c:pt idx="14">
                  <c:v>Aminoglycosides </c:v>
                </c:pt>
                <c:pt idx="15">
                  <c:v>Tetracyclines</c:v>
                </c:pt>
                <c:pt idx="16">
                  <c:v>Inhibit 50s Subunit</c:v>
                </c:pt>
                <c:pt idx="17">
                  <c:v>Macrolides</c:v>
                </c:pt>
                <c:pt idx="18">
                  <c:v>Chloramphenicol</c:v>
                </c:pt>
                <c:pt idx="19">
                  <c:v>Oxazolidonones</c:v>
                </c:pt>
                <c:pt idx="20">
                  <c:v>Lincosamide</c:v>
                </c:pt>
                <c:pt idx="21">
                  <c:v>Streptogramins</c:v>
                </c:pt>
                <c:pt idx="24">
                  <c:v>Fluoroquinolones </c:v>
                </c:pt>
                <c:pt idx="25">
                  <c:v>Quinolones</c:v>
                </c:pt>
                <c:pt idx="28">
                  <c:v>Rifampin</c:v>
                </c:pt>
                <c:pt idx="29">
                  <c:v>metronidazole</c:v>
                </c:pt>
                <c:pt idx="32">
                  <c:v>Sulfonamides</c:v>
                </c:pt>
                <c:pt idx="33">
                  <c:v>DHFR inhibitors</c:v>
                </c:pt>
                <c:pt idx="37">
                  <c:v>Baloxavir marboxil</c:v>
                </c:pt>
                <c:pt idx="40">
                  <c:v>Amphotericin</c:v>
                </c:pt>
                <c:pt idx="41">
                  <c:v>Fluconazole</c:v>
                </c:pt>
                <c:pt idx="42">
                  <c:v>Echinocandin</c:v>
                </c:pt>
              </c:strCache>
            </c:strRef>
          </c:cat>
          <c:val>
            <c:numRef>
              <c:f>drugs!$O$121:$O$165</c:f>
              <c:numCache>
                <c:formatCode>General</c:formatCode>
                <c:ptCount val="45"/>
                <c:pt idx="2">
                  <c:v>1</c:v>
                </c:pt>
                <c:pt idx="17">
                  <c:v>1</c:v>
                </c:pt>
              </c:numCache>
            </c:numRef>
          </c:val>
          <c:extLst>
            <c:ext xmlns:c16="http://schemas.microsoft.com/office/drawing/2014/chart" uri="{C3380CC4-5D6E-409C-BE32-E72D297353CC}">
              <c16:uniqueId val="{0000000C-5FD5-6347-B8DD-3760A0283604}"/>
            </c:ext>
          </c:extLst>
        </c:ser>
        <c:dLbls>
          <c:showLegendKey val="0"/>
          <c:showVal val="0"/>
          <c:showCatName val="0"/>
          <c:showSerName val="0"/>
          <c:showPercent val="0"/>
          <c:showBubbleSize val="0"/>
        </c:dLbls>
        <c:axId val="2105319688"/>
        <c:axId val="-2139719624"/>
      </c:areaChart>
      <c:catAx>
        <c:axId val="21053196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Antimicrobial</a:t>
                </a:r>
                <a:r>
                  <a:rPr lang="en-US" baseline="0"/>
                  <a:t> agents</a:t>
                </a:r>
              </a:p>
              <a:p>
                <a:pPr>
                  <a:defRPr/>
                </a:pPr>
                <a:endParaRPr lang="en-US"/>
              </a:p>
            </c:rich>
          </c:tx>
          <c:layout>
            <c:manualLayout>
              <c:xMode val="edge"/>
              <c:yMode val="edge"/>
              <c:x val="0.44237276553448579"/>
              <c:y val="0.6332410196746515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75000"/>
                  </a:schemeClr>
                </a:solidFill>
                <a:latin typeface="+mn-lt"/>
                <a:ea typeface="+mn-ea"/>
                <a:cs typeface="+mn-cs"/>
              </a:defRPr>
            </a:pPr>
            <a:endParaRPr lang="en-US"/>
          </a:p>
        </c:txPr>
        <c:crossAx val="-2139719624"/>
        <c:crosses val="autoZero"/>
        <c:auto val="1"/>
        <c:lblAlgn val="ctr"/>
        <c:lblOffset val="100"/>
        <c:noMultiLvlLbl val="0"/>
      </c:catAx>
      <c:valAx>
        <c:axId val="-2139719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Frequency of reported non-susceptible antimicrobials</a:t>
                </a:r>
              </a:p>
            </c:rich>
          </c:tx>
          <c:layout>
            <c:manualLayout>
              <c:xMode val="edge"/>
              <c:yMode val="edge"/>
              <c:x val="7.7071290944123296E-3"/>
              <c:y val="0.1169660678642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5319688"/>
        <c:crosses val="autoZero"/>
        <c:crossBetween val="midCat"/>
      </c:valAx>
      <c:spPr>
        <a:noFill/>
        <a:ln>
          <a:noFill/>
        </a:ln>
        <a:effectLst/>
      </c:spPr>
    </c:plotArea>
    <c:legend>
      <c:legendPos val="b"/>
      <c:layout>
        <c:manualLayout>
          <c:xMode val="edge"/>
          <c:yMode val="edge"/>
          <c:x val="7.0224806051577701E-2"/>
          <c:y val="0.71735382875527653"/>
          <c:w val="0.9045954329418896"/>
          <c:h val="0.26962531901254277"/>
        </c:manualLayout>
      </c:layout>
      <c:overlay val="0"/>
      <c:spPr>
        <a:noFill/>
        <a:ln>
          <a:solidFill>
            <a:srgbClr val="4FD62A"/>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400" b="0" i="0" baseline="0">
                <a:effectLst/>
              </a:rPr>
              <a:t>EpiWATCH antibacterial and gram strain bacterial susceptibility distribution</a:t>
            </a:r>
            <a:endParaRPr lang="en-IN" sz="14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487597911227154"/>
          <c:y val="0.23470039318207753"/>
          <c:w val="0.83091561988171847"/>
          <c:h val="0.28453751828452273"/>
        </c:manualLayout>
      </c:layout>
      <c:barChart>
        <c:barDir val="col"/>
        <c:grouping val="percentStacked"/>
        <c:varyColors val="0"/>
        <c:ser>
          <c:idx val="0"/>
          <c:order val="0"/>
          <c:tx>
            <c:strRef>
              <c:f>drugs!$O$167:$O$168</c:f>
              <c:strCache>
                <c:ptCount val="2"/>
                <c:pt idx="1">
                  <c:v>gram -ve bacilli</c:v>
                </c:pt>
              </c:strCache>
            </c:strRef>
          </c:tx>
          <c:spPr>
            <a:solidFill>
              <a:schemeClr val="accent6"/>
            </a:solidFill>
            <a:ln>
              <a:noFill/>
            </a:ln>
            <a:effectLst/>
          </c:spPr>
          <c:invertIfNegative val="0"/>
          <c:cat>
            <c:strRef>
              <c:f>drugs!$N$169:$N$203</c:f>
              <c:strCache>
                <c:ptCount val="34"/>
                <c:pt idx="0">
                  <c:v>β lactams </c:v>
                </c:pt>
                <c:pt idx="2">
                  <c:v>Penicillins</c:v>
                </c:pt>
                <c:pt idx="3">
                  <c:v>Cephalosporins</c:v>
                </c:pt>
                <c:pt idx="4">
                  <c:v>Carbapenem </c:v>
                </c:pt>
                <c:pt idx="5">
                  <c:v>Monobactam</c:v>
                </c:pt>
                <c:pt idx="6">
                  <c:v>β lactam inhibitors </c:v>
                </c:pt>
                <c:pt idx="8">
                  <c:v>non lactam</c:v>
                </c:pt>
                <c:pt idx="9">
                  <c:v>Glycopepetides(vancomcin)</c:v>
                </c:pt>
                <c:pt idx="14">
                  <c:v>Inhibit 30s Subunit</c:v>
                </c:pt>
                <c:pt idx="15">
                  <c:v>Aminoglycosides </c:v>
                </c:pt>
                <c:pt idx="16">
                  <c:v>Tetracyclines</c:v>
                </c:pt>
                <c:pt idx="17">
                  <c:v>Inhibit 50s Subunit</c:v>
                </c:pt>
                <c:pt idx="18">
                  <c:v>Macrolides</c:v>
                </c:pt>
                <c:pt idx="19">
                  <c:v>Chloramphenicol</c:v>
                </c:pt>
                <c:pt idx="20">
                  <c:v>Oxazolidonones</c:v>
                </c:pt>
                <c:pt idx="21">
                  <c:v>Lincosamide</c:v>
                </c:pt>
                <c:pt idx="22">
                  <c:v>Streptogramins</c:v>
                </c:pt>
                <c:pt idx="25">
                  <c:v>Fluoroquinolones </c:v>
                </c:pt>
                <c:pt idx="26">
                  <c:v>Quinolones</c:v>
                </c:pt>
                <c:pt idx="28">
                  <c:v>Rifampin</c:v>
                </c:pt>
                <c:pt idx="29">
                  <c:v>metronidazole</c:v>
                </c:pt>
                <c:pt idx="32">
                  <c:v>Sulfonamides</c:v>
                </c:pt>
                <c:pt idx="33">
                  <c:v>DHFR inhibitors</c:v>
                </c:pt>
              </c:strCache>
            </c:strRef>
          </c:cat>
          <c:val>
            <c:numRef>
              <c:f>drugs!$O$169:$O$203</c:f>
              <c:numCache>
                <c:formatCode>General</c:formatCode>
                <c:ptCount val="35"/>
                <c:pt idx="2">
                  <c:v>14</c:v>
                </c:pt>
                <c:pt idx="3">
                  <c:v>9</c:v>
                </c:pt>
                <c:pt idx="4">
                  <c:v>5</c:v>
                </c:pt>
                <c:pt idx="6">
                  <c:v>1</c:v>
                </c:pt>
                <c:pt idx="9">
                  <c:v>4</c:v>
                </c:pt>
                <c:pt idx="15">
                  <c:v>8</c:v>
                </c:pt>
                <c:pt idx="16">
                  <c:v>9</c:v>
                </c:pt>
                <c:pt idx="18">
                  <c:v>3</c:v>
                </c:pt>
                <c:pt idx="19">
                  <c:v>8</c:v>
                </c:pt>
                <c:pt idx="25">
                  <c:v>8</c:v>
                </c:pt>
                <c:pt idx="28">
                  <c:v>1</c:v>
                </c:pt>
                <c:pt idx="32">
                  <c:v>6</c:v>
                </c:pt>
              </c:numCache>
            </c:numRef>
          </c:val>
          <c:extLst>
            <c:ext xmlns:c16="http://schemas.microsoft.com/office/drawing/2014/chart" uri="{C3380CC4-5D6E-409C-BE32-E72D297353CC}">
              <c16:uniqueId val="{00000000-F8CB-7842-97C1-9E822EDA049A}"/>
            </c:ext>
          </c:extLst>
        </c:ser>
        <c:ser>
          <c:idx val="1"/>
          <c:order val="1"/>
          <c:tx>
            <c:strRef>
              <c:f>drugs!$P$167:$P$168</c:f>
              <c:strCache>
                <c:ptCount val="2"/>
                <c:pt idx="1">
                  <c:v>gram +cocci</c:v>
                </c:pt>
              </c:strCache>
            </c:strRef>
          </c:tx>
          <c:spPr>
            <a:solidFill>
              <a:schemeClr val="accent5"/>
            </a:solidFill>
            <a:ln>
              <a:noFill/>
            </a:ln>
            <a:effectLst/>
          </c:spPr>
          <c:invertIfNegative val="0"/>
          <c:cat>
            <c:strRef>
              <c:f>drugs!$N$169:$N$203</c:f>
              <c:strCache>
                <c:ptCount val="34"/>
                <c:pt idx="0">
                  <c:v>β lactams </c:v>
                </c:pt>
                <c:pt idx="2">
                  <c:v>Penicillins</c:v>
                </c:pt>
                <c:pt idx="3">
                  <c:v>Cephalosporins</c:v>
                </c:pt>
                <c:pt idx="4">
                  <c:v>Carbapenem </c:v>
                </c:pt>
                <c:pt idx="5">
                  <c:v>Monobactam</c:v>
                </c:pt>
                <c:pt idx="6">
                  <c:v>β lactam inhibitors </c:v>
                </c:pt>
                <c:pt idx="8">
                  <c:v>non lactam</c:v>
                </c:pt>
                <c:pt idx="9">
                  <c:v>Glycopepetides(vancomcin)</c:v>
                </c:pt>
                <c:pt idx="14">
                  <c:v>Inhibit 30s Subunit</c:v>
                </c:pt>
                <c:pt idx="15">
                  <c:v>Aminoglycosides </c:v>
                </c:pt>
                <c:pt idx="16">
                  <c:v>Tetracyclines</c:v>
                </c:pt>
                <c:pt idx="17">
                  <c:v>Inhibit 50s Subunit</c:v>
                </c:pt>
                <c:pt idx="18">
                  <c:v>Macrolides</c:v>
                </c:pt>
                <c:pt idx="19">
                  <c:v>Chloramphenicol</c:v>
                </c:pt>
                <c:pt idx="20">
                  <c:v>Oxazolidonones</c:v>
                </c:pt>
                <c:pt idx="21">
                  <c:v>Lincosamide</c:v>
                </c:pt>
                <c:pt idx="22">
                  <c:v>Streptogramins</c:v>
                </c:pt>
                <c:pt idx="25">
                  <c:v>Fluoroquinolones </c:v>
                </c:pt>
                <c:pt idx="26">
                  <c:v>Quinolones</c:v>
                </c:pt>
                <c:pt idx="28">
                  <c:v>Rifampin</c:v>
                </c:pt>
                <c:pt idx="29">
                  <c:v>metronidazole</c:v>
                </c:pt>
                <c:pt idx="32">
                  <c:v>Sulfonamides</c:v>
                </c:pt>
                <c:pt idx="33">
                  <c:v>DHFR inhibitors</c:v>
                </c:pt>
              </c:strCache>
            </c:strRef>
          </c:cat>
          <c:val>
            <c:numRef>
              <c:f>drugs!$P$169:$P$203</c:f>
              <c:numCache>
                <c:formatCode>General</c:formatCode>
                <c:ptCount val="35"/>
                <c:pt idx="2">
                  <c:v>18</c:v>
                </c:pt>
                <c:pt idx="3">
                  <c:v>18</c:v>
                </c:pt>
                <c:pt idx="4">
                  <c:v>19</c:v>
                </c:pt>
                <c:pt idx="6">
                  <c:v>18</c:v>
                </c:pt>
                <c:pt idx="9">
                  <c:v>2</c:v>
                </c:pt>
              </c:numCache>
            </c:numRef>
          </c:val>
          <c:extLst>
            <c:ext xmlns:c16="http://schemas.microsoft.com/office/drawing/2014/chart" uri="{C3380CC4-5D6E-409C-BE32-E72D297353CC}">
              <c16:uniqueId val="{00000001-F8CB-7842-97C1-9E822EDA049A}"/>
            </c:ext>
          </c:extLst>
        </c:ser>
        <c:ser>
          <c:idx val="2"/>
          <c:order val="2"/>
          <c:tx>
            <c:strRef>
              <c:f>drugs!$Q$167:$Q$168</c:f>
              <c:strCache>
                <c:ptCount val="2"/>
                <c:pt idx="1">
                  <c:v>gram -ve cocci</c:v>
                </c:pt>
              </c:strCache>
            </c:strRef>
          </c:tx>
          <c:spPr>
            <a:solidFill>
              <a:schemeClr val="accent4"/>
            </a:solidFill>
            <a:ln>
              <a:noFill/>
            </a:ln>
            <a:effectLst/>
          </c:spPr>
          <c:invertIfNegative val="0"/>
          <c:cat>
            <c:strRef>
              <c:f>drugs!$N$169:$N$203</c:f>
              <c:strCache>
                <c:ptCount val="34"/>
                <c:pt idx="0">
                  <c:v>β lactams </c:v>
                </c:pt>
                <c:pt idx="2">
                  <c:v>Penicillins</c:v>
                </c:pt>
                <c:pt idx="3">
                  <c:v>Cephalosporins</c:v>
                </c:pt>
                <c:pt idx="4">
                  <c:v>Carbapenem </c:v>
                </c:pt>
                <c:pt idx="5">
                  <c:v>Monobactam</c:v>
                </c:pt>
                <c:pt idx="6">
                  <c:v>β lactam inhibitors </c:v>
                </c:pt>
                <c:pt idx="8">
                  <c:v>non lactam</c:v>
                </c:pt>
                <c:pt idx="9">
                  <c:v>Glycopepetides(vancomcin)</c:v>
                </c:pt>
                <c:pt idx="14">
                  <c:v>Inhibit 30s Subunit</c:v>
                </c:pt>
                <c:pt idx="15">
                  <c:v>Aminoglycosides </c:v>
                </c:pt>
                <c:pt idx="16">
                  <c:v>Tetracyclines</c:v>
                </c:pt>
                <c:pt idx="17">
                  <c:v>Inhibit 50s Subunit</c:v>
                </c:pt>
                <c:pt idx="18">
                  <c:v>Macrolides</c:v>
                </c:pt>
                <c:pt idx="19">
                  <c:v>Chloramphenicol</c:v>
                </c:pt>
                <c:pt idx="20">
                  <c:v>Oxazolidonones</c:v>
                </c:pt>
                <c:pt idx="21">
                  <c:v>Lincosamide</c:v>
                </c:pt>
                <c:pt idx="22">
                  <c:v>Streptogramins</c:v>
                </c:pt>
                <c:pt idx="25">
                  <c:v>Fluoroquinolones </c:v>
                </c:pt>
                <c:pt idx="26">
                  <c:v>Quinolones</c:v>
                </c:pt>
                <c:pt idx="28">
                  <c:v>Rifampin</c:v>
                </c:pt>
                <c:pt idx="29">
                  <c:v>metronidazole</c:v>
                </c:pt>
                <c:pt idx="32">
                  <c:v>Sulfonamides</c:v>
                </c:pt>
                <c:pt idx="33">
                  <c:v>DHFR inhibitors</c:v>
                </c:pt>
              </c:strCache>
            </c:strRef>
          </c:cat>
          <c:val>
            <c:numRef>
              <c:f>drugs!$Q$169:$Q$203</c:f>
              <c:numCache>
                <c:formatCode>General</c:formatCode>
                <c:ptCount val="35"/>
                <c:pt idx="2">
                  <c:v>0</c:v>
                </c:pt>
                <c:pt idx="3">
                  <c:v>3</c:v>
                </c:pt>
                <c:pt idx="18">
                  <c:v>2</c:v>
                </c:pt>
              </c:numCache>
            </c:numRef>
          </c:val>
          <c:extLst>
            <c:ext xmlns:c16="http://schemas.microsoft.com/office/drawing/2014/chart" uri="{C3380CC4-5D6E-409C-BE32-E72D297353CC}">
              <c16:uniqueId val="{00000002-F8CB-7842-97C1-9E822EDA049A}"/>
            </c:ext>
          </c:extLst>
        </c:ser>
        <c:dLbls>
          <c:showLegendKey val="0"/>
          <c:showVal val="0"/>
          <c:showCatName val="0"/>
          <c:showSerName val="0"/>
          <c:showPercent val="0"/>
          <c:showBubbleSize val="0"/>
        </c:dLbls>
        <c:gapWidth val="150"/>
        <c:overlap val="100"/>
        <c:axId val="-2136959848"/>
        <c:axId val="2095694056"/>
      </c:barChart>
      <c:catAx>
        <c:axId val="-2136959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Antibacterial</a:t>
                </a:r>
                <a:r>
                  <a:rPr lang="en-IN" baseline="0"/>
                  <a:t> agents</a:t>
                </a:r>
              </a:p>
              <a:p>
                <a:pPr>
                  <a:defRPr/>
                </a:pPr>
                <a:endParaRPr lang="en-IN"/>
              </a:p>
              <a:p>
                <a:pPr>
                  <a:defRPr/>
                </a:pPr>
                <a:endParaRPr lang="en-IN"/>
              </a:p>
            </c:rich>
          </c:tx>
          <c:layout>
            <c:manualLayout>
              <c:xMode val="edge"/>
              <c:yMode val="edge"/>
              <c:x val="0.41365720277132462"/>
              <c:y val="0.7843040988453520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2095694056"/>
        <c:crosses val="autoZero"/>
        <c:auto val="1"/>
        <c:lblAlgn val="ctr"/>
        <c:lblOffset val="100"/>
        <c:noMultiLvlLbl val="0"/>
      </c:catAx>
      <c:valAx>
        <c:axId val="2095694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Reported </a:t>
                </a:r>
              </a:p>
              <a:p>
                <a:pPr>
                  <a:defRPr/>
                </a:pPr>
                <a:r>
                  <a:rPr lang="en-IN"/>
                  <a:t>resistant bacteria</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6959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IN" sz="1200" b="0" i="0" baseline="0">
                <a:effectLst/>
              </a:rPr>
              <a:t>WHO region wise distribution of pathogens in selected countries: 2016-2017</a:t>
            </a:r>
            <a:endParaRPr lang="en-IN" sz="1200">
              <a:effectLst/>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defRPr>
            </a:pPr>
            <a:endParaRPr lang="en-IN"/>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9.7122703412073505E-2"/>
          <c:y val="0.23328703703703699"/>
          <c:w val="0.87232174103237103"/>
          <c:h val="0.24899533391659401"/>
        </c:manualLayout>
      </c:layout>
      <c:barChart>
        <c:barDir val="col"/>
        <c:grouping val="percentStacked"/>
        <c:varyColors val="0"/>
        <c:ser>
          <c:idx val="0"/>
          <c:order val="0"/>
          <c:tx>
            <c:strRef>
              <c:f>Sheet3!$C$54:$C$56</c:f>
              <c:strCache>
                <c:ptCount val="3"/>
                <c:pt idx="0">
                  <c:v>Acinetobacter spp </c:v>
                </c:pt>
              </c:strCache>
            </c:strRef>
          </c:tx>
          <c:spPr>
            <a:solidFill>
              <a:schemeClr val="accent6"/>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Sheet3!$C$57:$C$80</c:f>
              <c:numCache>
                <c:formatCode>General</c:formatCode>
                <c:ptCount val="24"/>
                <c:pt idx="0">
                  <c:v>3</c:v>
                </c:pt>
                <c:pt idx="1">
                  <c:v>141</c:v>
                </c:pt>
                <c:pt idx="2">
                  <c:v>0</c:v>
                </c:pt>
                <c:pt idx="5">
                  <c:v>169</c:v>
                </c:pt>
                <c:pt idx="6">
                  <c:v>0</c:v>
                </c:pt>
                <c:pt idx="7">
                  <c:v>935</c:v>
                </c:pt>
                <c:pt idx="10">
                  <c:v>73</c:v>
                </c:pt>
                <c:pt idx="11">
                  <c:v>86</c:v>
                </c:pt>
                <c:pt idx="12">
                  <c:v>27</c:v>
                </c:pt>
                <c:pt idx="14">
                  <c:v>0</c:v>
                </c:pt>
                <c:pt idx="16">
                  <c:v>169</c:v>
                </c:pt>
                <c:pt idx="17">
                  <c:v>104</c:v>
                </c:pt>
                <c:pt idx="19">
                  <c:v>72</c:v>
                </c:pt>
                <c:pt idx="20">
                  <c:v>0</c:v>
                </c:pt>
                <c:pt idx="21">
                  <c:v>56</c:v>
                </c:pt>
              </c:numCache>
            </c:numRef>
          </c:val>
          <c:extLst>
            <c:ext xmlns:c16="http://schemas.microsoft.com/office/drawing/2014/chart" uri="{C3380CC4-5D6E-409C-BE32-E72D297353CC}">
              <c16:uniqueId val="{00000000-B994-5D46-A91D-0208C6819BBF}"/>
            </c:ext>
          </c:extLst>
        </c:ser>
        <c:ser>
          <c:idx val="2"/>
          <c:order val="2"/>
          <c:tx>
            <c:strRef>
              <c:f>Sheet3!$E$54:$E$56</c:f>
              <c:strCache>
                <c:ptCount val="3"/>
                <c:pt idx="0">
                  <c:v>E.coli </c:v>
                </c:pt>
              </c:strCache>
            </c:strRef>
          </c:tx>
          <c:spPr>
            <a:solidFill>
              <a:schemeClr val="accent4"/>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Sheet3!$E$57:$E$80</c:f>
              <c:numCache>
                <c:formatCode>General</c:formatCode>
                <c:ptCount val="24"/>
                <c:pt idx="0">
                  <c:v>29</c:v>
                </c:pt>
                <c:pt idx="1">
                  <c:v>6963</c:v>
                </c:pt>
                <c:pt idx="2">
                  <c:v>72</c:v>
                </c:pt>
                <c:pt idx="5">
                  <c:v>5540</c:v>
                </c:pt>
                <c:pt idx="6">
                  <c:v>0</c:v>
                </c:pt>
                <c:pt idx="7">
                  <c:v>5876</c:v>
                </c:pt>
                <c:pt idx="10">
                  <c:v>242083</c:v>
                </c:pt>
                <c:pt idx="11">
                  <c:v>138158</c:v>
                </c:pt>
                <c:pt idx="12">
                  <c:v>146673</c:v>
                </c:pt>
                <c:pt idx="14">
                  <c:v>0</c:v>
                </c:pt>
                <c:pt idx="16">
                  <c:v>5540</c:v>
                </c:pt>
                <c:pt idx="17">
                  <c:v>1288</c:v>
                </c:pt>
                <c:pt idx="19">
                  <c:v>657</c:v>
                </c:pt>
                <c:pt idx="20">
                  <c:v>0</c:v>
                </c:pt>
                <c:pt idx="21">
                  <c:v>22</c:v>
                </c:pt>
              </c:numCache>
            </c:numRef>
          </c:val>
          <c:extLst>
            <c:ext xmlns:c16="http://schemas.microsoft.com/office/drawing/2014/chart" uri="{C3380CC4-5D6E-409C-BE32-E72D297353CC}">
              <c16:uniqueId val="{00000001-B994-5D46-A91D-0208C6819BBF}"/>
            </c:ext>
          </c:extLst>
        </c:ser>
        <c:ser>
          <c:idx val="4"/>
          <c:order val="4"/>
          <c:tx>
            <c:strRef>
              <c:f>Sheet3!$G$54:$G$56</c:f>
              <c:strCache>
                <c:ptCount val="3"/>
                <c:pt idx="0">
                  <c:v>K. pneumoniae </c:v>
                </c:pt>
              </c:strCache>
            </c:strRef>
          </c:tx>
          <c:spPr>
            <a:solidFill>
              <a:schemeClr val="accent5">
                <a:lumMod val="60000"/>
              </a:schemeClr>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Sheet3!$G$57:$G$80</c:f>
              <c:numCache>
                <c:formatCode>General</c:formatCode>
                <c:ptCount val="24"/>
                <c:pt idx="0">
                  <c:v>82</c:v>
                </c:pt>
                <c:pt idx="1">
                  <c:v>1874</c:v>
                </c:pt>
                <c:pt idx="2">
                  <c:v>0</c:v>
                </c:pt>
                <c:pt idx="5">
                  <c:v>1234</c:v>
                </c:pt>
                <c:pt idx="6">
                  <c:v>0</c:v>
                </c:pt>
                <c:pt idx="7">
                  <c:v>2728</c:v>
                </c:pt>
                <c:pt idx="10">
                  <c:v>11765</c:v>
                </c:pt>
                <c:pt idx="11">
                  <c:v>14127</c:v>
                </c:pt>
                <c:pt idx="12">
                  <c:v>16597</c:v>
                </c:pt>
                <c:pt idx="14">
                  <c:v>0</c:v>
                </c:pt>
                <c:pt idx="16">
                  <c:v>1234</c:v>
                </c:pt>
                <c:pt idx="17">
                  <c:v>543</c:v>
                </c:pt>
                <c:pt idx="19">
                  <c:v>174</c:v>
                </c:pt>
                <c:pt idx="20">
                  <c:v>0</c:v>
                </c:pt>
                <c:pt idx="21">
                  <c:v>121</c:v>
                </c:pt>
              </c:numCache>
            </c:numRef>
          </c:val>
          <c:extLst>
            <c:ext xmlns:c16="http://schemas.microsoft.com/office/drawing/2014/chart" uri="{C3380CC4-5D6E-409C-BE32-E72D297353CC}">
              <c16:uniqueId val="{00000002-B994-5D46-A91D-0208C6819BBF}"/>
            </c:ext>
          </c:extLst>
        </c:ser>
        <c:ser>
          <c:idx val="6"/>
          <c:order val="6"/>
          <c:tx>
            <c:strRef>
              <c:f>Sheet3!$I$54:$I$56</c:f>
              <c:strCache>
                <c:ptCount val="3"/>
                <c:pt idx="0">
                  <c:v>Salmonella spp </c:v>
                </c:pt>
              </c:strCache>
            </c:strRef>
          </c:tx>
          <c:spPr>
            <a:solidFill>
              <a:srgbClr val="00B0F0"/>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Sheet3!$I$57:$I$80</c:f>
              <c:numCache>
                <c:formatCode>General</c:formatCode>
                <c:ptCount val="24"/>
                <c:pt idx="0">
                  <c:v>0</c:v>
                </c:pt>
                <c:pt idx="1">
                  <c:v>36</c:v>
                </c:pt>
                <c:pt idx="2">
                  <c:v>0</c:v>
                </c:pt>
                <c:pt idx="5">
                  <c:v>105</c:v>
                </c:pt>
                <c:pt idx="6">
                  <c:v>0</c:v>
                </c:pt>
                <c:pt idx="7">
                  <c:v>347</c:v>
                </c:pt>
                <c:pt idx="10">
                  <c:v>474</c:v>
                </c:pt>
                <c:pt idx="11">
                  <c:v>74</c:v>
                </c:pt>
                <c:pt idx="12">
                  <c:v>1131</c:v>
                </c:pt>
                <c:pt idx="14">
                  <c:v>3727</c:v>
                </c:pt>
                <c:pt idx="16">
                  <c:v>105</c:v>
                </c:pt>
                <c:pt idx="17">
                  <c:v>33</c:v>
                </c:pt>
                <c:pt idx="19">
                  <c:v>205</c:v>
                </c:pt>
                <c:pt idx="20">
                  <c:v>0</c:v>
                </c:pt>
                <c:pt idx="21">
                  <c:v>0</c:v>
                </c:pt>
              </c:numCache>
            </c:numRef>
          </c:val>
          <c:extLst>
            <c:ext xmlns:c16="http://schemas.microsoft.com/office/drawing/2014/chart" uri="{C3380CC4-5D6E-409C-BE32-E72D297353CC}">
              <c16:uniqueId val="{00000003-B994-5D46-A91D-0208C6819BBF}"/>
            </c:ext>
          </c:extLst>
        </c:ser>
        <c:ser>
          <c:idx val="8"/>
          <c:order val="8"/>
          <c:tx>
            <c:strRef>
              <c:f>Sheet3!$K$54:$K$56</c:f>
              <c:strCache>
                <c:ptCount val="3"/>
                <c:pt idx="0">
                  <c:v>S. aureus</c:v>
                </c:pt>
              </c:strCache>
            </c:strRef>
          </c:tx>
          <c:spPr>
            <a:solidFill>
              <a:srgbClr val="FF0000"/>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Sheet3!$K$57:$K$80</c:f>
              <c:numCache>
                <c:formatCode>General</c:formatCode>
                <c:ptCount val="24"/>
                <c:pt idx="0">
                  <c:v>3</c:v>
                </c:pt>
                <c:pt idx="1">
                  <c:v>319</c:v>
                </c:pt>
                <c:pt idx="2">
                  <c:v>0</c:v>
                </c:pt>
                <c:pt idx="5">
                  <c:v>390</c:v>
                </c:pt>
                <c:pt idx="6">
                  <c:v>0</c:v>
                </c:pt>
                <c:pt idx="7">
                  <c:v>1184</c:v>
                </c:pt>
                <c:pt idx="10">
                  <c:v>1630</c:v>
                </c:pt>
                <c:pt idx="11">
                  <c:v>4511</c:v>
                </c:pt>
                <c:pt idx="12">
                  <c:v>1883</c:v>
                </c:pt>
                <c:pt idx="14">
                  <c:v>0</c:v>
                </c:pt>
                <c:pt idx="16">
                  <c:v>390</c:v>
                </c:pt>
                <c:pt idx="17">
                  <c:v>132</c:v>
                </c:pt>
                <c:pt idx="19">
                  <c:v>245</c:v>
                </c:pt>
                <c:pt idx="20">
                  <c:v>967</c:v>
                </c:pt>
                <c:pt idx="21">
                  <c:v>0</c:v>
                </c:pt>
              </c:numCache>
            </c:numRef>
          </c:val>
          <c:extLst>
            <c:ext xmlns:c16="http://schemas.microsoft.com/office/drawing/2014/chart" uri="{C3380CC4-5D6E-409C-BE32-E72D297353CC}">
              <c16:uniqueId val="{00000004-B994-5D46-A91D-0208C6819BBF}"/>
            </c:ext>
          </c:extLst>
        </c:ser>
        <c:ser>
          <c:idx val="10"/>
          <c:order val="10"/>
          <c:tx>
            <c:strRef>
              <c:f>Sheet3!$M$54:$M$56</c:f>
              <c:strCache>
                <c:ptCount val="3"/>
                <c:pt idx="0">
                  <c:v>S. pneumoniae</c:v>
                </c:pt>
              </c:strCache>
            </c:strRef>
          </c:tx>
          <c:spPr>
            <a:solidFill>
              <a:schemeClr val="bg2">
                <a:lumMod val="90000"/>
              </a:schemeClr>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Sheet3!$M$57:$M$80</c:f>
              <c:numCache>
                <c:formatCode>General</c:formatCode>
                <c:ptCount val="24"/>
                <c:pt idx="0">
                  <c:v>1</c:v>
                </c:pt>
                <c:pt idx="1">
                  <c:v>40</c:v>
                </c:pt>
                <c:pt idx="2">
                  <c:v>0</c:v>
                </c:pt>
                <c:pt idx="5">
                  <c:v>14</c:v>
                </c:pt>
                <c:pt idx="6">
                  <c:v>0</c:v>
                </c:pt>
                <c:pt idx="7">
                  <c:v>139</c:v>
                </c:pt>
                <c:pt idx="10">
                  <c:v>562</c:v>
                </c:pt>
                <c:pt idx="11">
                  <c:v>916</c:v>
                </c:pt>
                <c:pt idx="12">
                  <c:v>801</c:v>
                </c:pt>
                <c:pt idx="14">
                  <c:v>0</c:v>
                </c:pt>
                <c:pt idx="16">
                  <c:v>14</c:v>
                </c:pt>
                <c:pt idx="17">
                  <c:v>22</c:v>
                </c:pt>
                <c:pt idx="19">
                  <c:v>463</c:v>
                </c:pt>
                <c:pt idx="20">
                  <c:v>647</c:v>
                </c:pt>
                <c:pt idx="21">
                  <c:v>0</c:v>
                </c:pt>
              </c:numCache>
            </c:numRef>
          </c:val>
          <c:extLst>
            <c:ext xmlns:c16="http://schemas.microsoft.com/office/drawing/2014/chart" uri="{C3380CC4-5D6E-409C-BE32-E72D297353CC}">
              <c16:uniqueId val="{00000005-B994-5D46-A91D-0208C6819BBF}"/>
            </c:ext>
          </c:extLst>
        </c:ser>
        <c:ser>
          <c:idx val="12"/>
          <c:order val="12"/>
          <c:tx>
            <c:strRef>
              <c:f>Sheet3!$O$54:$O$56</c:f>
              <c:strCache>
                <c:ptCount val="3"/>
                <c:pt idx="0">
                  <c:v>N. gonorrhoeae</c:v>
                </c:pt>
              </c:strCache>
            </c:strRef>
          </c:tx>
          <c:spPr>
            <a:solidFill>
              <a:srgbClr val="D35DD3"/>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Sheet3!$O$57:$O$80</c:f>
              <c:numCache>
                <c:formatCode>General</c:formatCode>
                <c:ptCount val="24"/>
                <c:pt idx="0">
                  <c:v>0</c:v>
                </c:pt>
                <c:pt idx="1">
                  <c:v>8</c:v>
                </c:pt>
                <c:pt idx="2">
                  <c:v>0</c:v>
                </c:pt>
                <c:pt idx="5">
                  <c:v>0</c:v>
                </c:pt>
                <c:pt idx="6">
                  <c:v>675</c:v>
                </c:pt>
                <c:pt idx="7">
                  <c:v>165</c:v>
                </c:pt>
                <c:pt idx="10">
                  <c:v>112</c:v>
                </c:pt>
                <c:pt idx="11">
                  <c:v>900</c:v>
                </c:pt>
                <c:pt idx="12">
                  <c:v>219</c:v>
                </c:pt>
                <c:pt idx="14">
                  <c:v>0</c:v>
                </c:pt>
                <c:pt idx="16">
                  <c:v>0</c:v>
                </c:pt>
                <c:pt idx="17">
                  <c:v>123</c:v>
                </c:pt>
                <c:pt idx="19">
                  <c:v>413</c:v>
                </c:pt>
                <c:pt idx="20">
                  <c:v>0</c:v>
                </c:pt>
                <c:pt idx="21">
                  <c:v>0</c:v>
                </c:pt>
              </c:numCache>
            </c:numRef>
          </c:val>
          <c:extLst>
            <c:ext xmlns:c16="http://schemas.microsoft.com/office/drawing/2014/chart" uri="{C3380CC4-5D6E-409C-BE32-E72D297353CC}">
              <c16:uniqueId val="{00000006-B994-5D46-A91D-0208C6819BBF}"/>
            </c:ext>
          </c:extLst>
        </c:ser>
        <c:ser>
          <c:idx val="14"/>
          <c:order val="14"/>
          <c:tx>
            <c:strRef>
              <c:f>Sheet3!$Q$54:$Q$56</c:f>
              <c:strCache>
                <c:ptCount val="3"/>
                <c:pt idx="0">
                  <c:v>DR Shigella</c:v>
                </c:pt>
              </c:strCache>
            </c:strRef>
          </c:tx>
          <c:spPr>
            <a:solidFill>
              <a:schemeClr val="tx1"/>
            </a:solidFill>
            <a:ln>
              <a:noFill/>
            </a:ln>
            <a:effectLst/>
          </c:spPr>
          <c:invertIfNegative val="0"/>
          <c:cat>
            <c:multiLvlStrRef>
              <c:f>Sheet3!$A$57:$B$80</c:f>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f>Sheet3!$Q$57:$Q$80</c:f>
              <c:numCache>
                <c:formatCode>General</c:formatCode>
                <c:ptCount val="24"/>
                <c:pt idx="6">
                  <c:v>75</c:v>
                </c:pt>
                <c:pt idx="7">
                  <c:v>3</c:v>
                </c:pt>
                <c:pt idx="10">
                  <c:v>74</c:v>
                </c:pt>
                <c:pt idx="17">
                  <c:v>3</c:v>
                </c:pt>
                <c:pt idx="19">
                  <c:v>110</c:v>
                </c:pt>
              </c:numCache>
            </c:numRef>
          </c:val>
          <c:extLst>
            <c:ext xmlns:c16="http://schemas.microsoft.com/office/drawing/2014/chart" uri="{C3380CC4-5D6E-409C-BE32-E72D297353CC}">
              <c16:uniqueId val="{00000007-B994-5D46-A91D-0208C6819BBF}"/>
            </c:ext>
          </c:extLst>
        </c:ser>
        <c:dLbls>
          <c:showLegendKey val="0"/>
          <c:showVal val="0"/>
          <c:showCatName val="0"/>
          <c:showSerName val="0"/>
          <c:showPercent val="0"/>
          <c:showBubbleSize val="0"/>
        </c:dLbls>
        <c:gapWidth val="150"/>
        <c:overlap val="100"/>
        <c:axId val="2132405960"/>
        <c:axId val="2109470088"/>
        <c:extLst>
          <c:ext xmlns:c15="http://schemas.microsoft.com/office/drawing/2012/chart" uri="{02D57815-91ED-43cb-92C2-25804820EDAC}">
            <c15:filteredBarSeries>
              <c15:ser>
                <c:idx val="1"/>
                <c:order val="1"/>
                <c:tx>
                  <c:strRef>
                    <c:extLst>
                      <c:ext uri="{02D57815-91ED-43cb-92C2-25804820EDAC}">
                        <c15:formulaRef>
                          <c15:sqref>Sheet3!$D$54:$D$56</c15:sqref>
                        </c15:formulaRef>
                      </c:ext>
                    </c:extLst>
                    <c:strCache>
                      <c:ptCount val="3"/>
                      <c:pt idx="0">
                        <c:v>Acinetobacter</c:v>
                      </c:pt>
                    </c:strCache>
                  </c:strRef>
                </c:tx>
                <c:spPr>
                  <a:solidFill>
                    <a:schemeClr val="accent5"/>
                  </a:solidFill>
                  <a:ln>
                    <a:noFill/>
                  </a:ln>
                  <a:effectLst/>
                </c:spPr>
                <c:invertIfNegative val="0"/>
                <c:cat>
                  <c:multiLvlStrRef>
                    <c:extLst>
                      <c:ex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c:ext uri="{02D57815-91ED-43cb-92C2-25804820EDAC}">
                        <c15:formulaRef>
                          <c15:sqref>Sheet3!$D$57:$D$80</c15:sqref>
                        </c15:formulaRef>
                      </c:ext>
                    </c:extLst>
                    <c:numCache>
                      <c:formatCode>General</c:formatCode>
                      <c:ptCount val="24"/>
                      <c:pt idx="0">
                        <c:v>12</c:v>
                      </c:pt>
                      <c:pt idx="1">
                        <c:v>241</c:v>
                      </c:pt>
                      <c:pt idx="2">
                        <c:v>0</c:v>
                      </c:pt>
                      <c:pt idx="5">
                        <c:v>235</c:v>
                      </c:pt>
                      <c:pt idx="6">
                        <c:v>1386</c:v>
                      </c:pt>
                      <c:pt idx="7">
                        <c:v>1057</c:v>
                      </c:pt>
                      <c:pt idx="10">
                        <c:v>88</c:v>
                      </c:pt>
                      <c:pt idx="11">
                        <c:v>54</c:v>
                      </c:pt>
                      <c:pt idx="12">
                        <c:v>34</c:v>
                      </c:pt>
                      <c:pt idx="14">
                        <c:v>0</c:v>
                      </c:pt>
                      <c:pt idx="16">
                        <c:v>235</c:v>
                      </c:pt>
                      <c:pt idx="17">
                        <c:v>167</c:v>
                      </c:pt>
                      <c:pt idx="19">
                        <c:v>178</c:v>
                      </c:pt>
                      <c:pt idx="20">
                        <c:v>1307</c:v>
                      </c:pt>
                      <c:pt idx="21">
                        <c:v>26</c:v>
                      </c:pt>
                    </c:numCache>
                  </c:numRef>
                </c:val>
                <c:extLst>
                  <c:ext xmlns:c16="http://schemas.microsoft.com/office/drawing/2014/chart" uri="{C3380CC4-5D6E-409C-BE32-E72D297353CC}">
                    <c16:uniqueId val="{00000008-B994-5D46-A91D-0208C6819BBF}"/>
                  </c:ext>
                </c:extLst>
              </c15:ser>
            </c15:filteredBarSeries>
            <c15:filteredBarSeries>
              <c15:ser>
                <c:idx val="3"/>
                <c:order val="3"/>
                <c:tx>
                  <c:strRef>
                    <c:extLst xmlns:c15="http://schemas.microsoft.com/office/drawing/2012/chart">
                      <c:ext xmlns:c15="http://schemas.microsoft.com/office/drawing/2012/chart" uri="{02D57815-91ED-43cb-92C2-25804820EDAC}">
                        <c15:formulaRef>
                          <c15:sqref>Sheet3!$F$54:$F$56</c15:sqref>
                        </c15:formulaRef>
                      </c:ext>
                    </c:extLst>
                    <c:strCache>
                      <c:ptCount val="3"/>
                      <c:pt idx="0">
                        <c:v>E. coli</c:v>
                      </c:pt>
                    </c:strCache>
                  </c:strRef>
                </c:tx>
                <c:spPr>
                  <a:solidFill>
                    <a:schemeClr val="accent6">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xmlns:c15="http://schemas.microsoft.com/office/drawing/2012/chart">
                      <c:ext xmlns:c15="http://schemas.microsoft.com/office/drawing/2012/chart" uri="{02D57815-91ED-43cb-92C2-25804820EDAC}">
                        <c15:formulaRef>
                          <c15:sqref>Sheet3!$F$57:$F$80</c15:sqref>
                        </c15:formulaRef>
                      </c:ext>
                    </c:extLst>
                    <c:numCache>
                      <c:formatCode>General</c:formatCode>
                      <c:ptCount val="24"/>
                      <c:pt idx="0">
                        <c:v>20</c:v>
                      </c:pt>
                      <c:pt idx="1">
                        <c:v>1825</c:v>
                      </c:pt>
                      <c:pt idx="2">
                        <c:v>0</c:v>
                      </c:pt>
                      <c:pt idx="5">
                        <c:v>9646</c:v>
                      </c:pt>
                      <c:pt idx="6">
                        <c:v>471314</c:v>
                      </c:pt>
                      <c:pt idx="7">
                        <c:v>5743</c:v>
                      </c:pt>
                      <c:pt idx="10">
                        <c:v>90801</c:v>
                      </c:pt>
                      <c:pt idx="11">
                        <c:v>133783</c:v>
                      </c:pt>
                      <c:pt idx="12">
                        <c:v>149568</c:v>
                      </c:pt>
                      <c:pt idx="14">
                        <c:v>0</c:v>
                      </c:pt>
                      <c:pt idx="16">
                        <c:v>9646</c:v>
                      </c:pt>
                      <c:pt idx="17">
                        <c:v>2346</c:v>
                      </c:pt>
                      <c:pt idx="19">
                        <c:v>1482</c:v>
                      </c:pt>
                      <c:pt idx="20">
                        <c:v>0</c:v>
                      </c:pt>
                      <c:pt idx="21">
                        <c:v>529</c:v>
                      </c:pt>
                    </c:numCache>
                  </c:numRef>
                </c:val>
                <c:extLst xmlns:c15="http://schemas.microsoft.com/office/drawing/2012/chart">
                  <c:ext xmlns:c16="http://schemas.microsoft.com/office/drawing/2014/chart" uri="{C3380CC4-5D6E-409C-BE32-E72D297353CC}">
                    <c16:uniqueId val="{00000009-B994-5D46-A91D-0208C6819BBF}"/>
                  </c:ext>
                </c:extLst>
              </c15:ser>
            </c15:filteredBarSeries>
            <c15:filteredBarSeries>
              <c15:ser>
                <c:idx val="5"/>
                <c:order val="5"/>
                <c:tx>
                  <c:strRef>
                    <c:extLst xmlns:c15="http://schemas.microsoft.com/office/drawing/2012/chart">
                      <c:ext xmlns:c15="http://schemas.microsoft.com/office/drawing/2012/chart" uri="{02D57815-91ED-43cb-92C2-25804820EDAC}">
                        <c15:formulaRef>
                          <c15:sqref>Sheet3!$H$54:$H$56</c15:sqref>
                        </c15:formulaRef>
                      </c:ext>
                    </c:extLst>
                    <c:strCache>
                      <c:ptCount val="3"/>
                      <c:pt idx="0">
                        <c:v>K. pneumoniae</c:v>
                      </c:pt>
                    </c:strCache>
                  </c:strRef>
                </c:tx>
                <c:spPr>
                  <a:solidFill>
                    <a:schemeClr val="accent4">
                      <a:lumMod val="6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xmlns:c15="http://schemas.microsoft.com/office/drawing/2012/chart">
                      <c:ext xmlns:c15="http://schemas.microsoft.com/office/drawing/2012/chart" uri="{02D57815-91ED-43cb-92C2-25804820EDAC}">
                        <c15:formulaRef>
                          <c15:sqref>Sheet3!$H$57:$H$80</c15:sqref>
                        </c15:formulaRef>
                      </c:ext>
                    </c:extLst>
                    <c:numCache>
                      <c:formatCode>General</c:formatCode>
                      <c:ptCount val="24"/>
                      <c:pt idx="0">
                        <c:v>74</c:v>
                      </c:pt>
                      <c:pt idx="1">
                        <c:v>994</c:v>
                      </c:pt>
                      <c:pt idx="2">
                        <c:v>649</c:v>
                      </c:pt>
                      <c:pt idx="5">
                        <c:v>1949</c:v>
                      </c:pt>
                      <c:pt idx="6">
                        <c:v>107016</c:v>
                      </c:pt>
                      <c:pt idx="7">
                        <c:v>3228</c:v>
                      </c:pt>
                      <c:pt idx="10">
                        <c:v>13307</c:v>
                      </c:pt>
                      <c:pt idx="11">
                        <c:v>13648</c:v>
                      </c:pt>
                      <c:pt idx="12">
                        <c:v>138228</c:v>
                      </c:pt>
                      <c:pt idx="14">
                        <c:v>0</c:v>
                      </c:pt>
                      <c:pt idx="16">
                        <c:v>1949</c:v>
                      </c:pt>
                      <c:pt idx="17">
                        <c:v>788</c:v>
                      </c:pt>
                      <c:pt idx="19">
                        <c:v>919</c:v>
                      </c:pt>
                      <c:pt idx="20">
                        <c:v>0</c:v>
                      </c:pt>
                      <c:pt idx="21">
                        <c:v>466</c:v>
                      </c:pt>
                    </c:numCache>
                  </c:numRef>
                </c:val>
                <c:extLst xmlns:c15="http://schemas.microsoft.com/office/drawing/2012/chart">
                  <c:ext xmlns:c16="http://schemas.microsoft.com/office/drawing/2014/chart" uri="{C3380CC4-5D6E-409C-BE32-E72D297353CC}">
                    <c16:uniqueId val="{0000000A-B994-5D46-A91D-0208C6819BBF}"/>
                  </c:ext>
                </c:extLst>
              </c15:ser>
            </c15:filteredBarSeries>
            <c15:filteredBarSeries>
              <c15:ser>
                <c:idx val="7"/>
                <c:order val="7"/>
                <c:tx>
                  <c:strRef>
                    <c:extLst xmlns:c15="http://schemas.microsoft.com/office/drawing/2012/chart">
                      <c:ext xmlns:c15="http://schemas.microsoft.com/office/drawing/2012/chart" uri="{02D57815-91ED-43cb-92C2-25804820EDAC}">
                        <c15:formulaRef>
                          <c15:sqref>Sheet3!$J$54:$J$56</c15:sqref>
                        </c15:formulaRef>
                      </c:ext>
                    </c:extLst>
                    <c:strCache>
                      <c:ptCount val="3"/>
                      <c:pt idx="0">
                        <c:v>Salmonella spp.</c:v>
                      </c:pt>
                    </c:strCache>
                  </c:strRef>
                </c:tx>
                <c:spPr>
                  <a:solidFill>
                    <a:schemeClr val="accent5">
                      <a:lumMod val="80000"/>
                      <a:lumOff val="2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xmlns:c15="http://schemas.microsoft.com/office/drawing/2012/chart">
                      <c:ext xmlns:c15="http://schemas.microsoft.com/office/drawing/2012/chart" uri="{02D57815-91ED-43cb-92C2-25804820EDAC}">
                        <c15:formulaRef>
                          <c15:sqref>Sheet3!$J$57:$J$80</c15:sqref>
                        </c15:formulaRef>
                      </c:ext>
                    </c:extLst>
                    <c:numCache>
                      <c:formatCode>General</c:formatCode>
                      <c:ptCount val="24"/>
                      <c:pt idx="0">
                        <c:v>0</c:v>
                      </c:pt>
                      <c:pt idx="1">
                        <c:v>30</c:v>
                      </c:pt>
                      <c:pt idx="2">
                        <c:v>95</c:v>
                      </c:pt>
                      <c:pt idx="5">
                        <c:v>228</c:v>
                      </c:pt>
                      <c:pt idx="6">
                        <c:v>1000</c:v>
                      </c:pt>
                      <c:pt idx="7">
                        <c:v>335</c:v>
                      </c:pt>
                      <c:pt idx="10">
                        <c:v>592</c:v>
                      </c:pt>
                      <c:pt idx="11">
                        <c:v>0</c:v>
                      </c:pt>
                      <c:pt idx="12">
                        <c:v>1236</c:v>
                      </c:pt>
                      <c:pt idx="14">
                        <c:v>2031</c:v>
                      </c:pt>
                      <c:pt idx="16">
                        <c:v>228</c:v>
                      </c:pt>
                      <c:pt idx="17">
                        <c:v>290</c:v>
                      </c:pt>
                      <c:pt idx="19">
                        <c:v>585</c:v>
                      </c:pt>
                      <c:pt idx="20">
                        <c:v>646</c:v>
                      </c:pt>
                      <c:pt idx="21">
                        <c:v>52</c:v>
                      </c:pt>
                    </c:numCache>
                  </c:numRef>
                </c:val>
                <c:extLst xmlns:c15="http://schemas.microsoft.com/office/drawing/2012/chart">
                  <c:ext xmlns:c16="http://schemas.microsoft.com/office/drawing/2014/chart" uri="{C3380CC4-5D6E-409C-BE32-E72D297353CC}">
                    <c16:uniqueId val="{0000000B-B994-5D46-A91D-0208C6819BBF}"/>
                  </c:ext>
                </c:extLst>
              </c15:ser>
            </c15:filteredBarSeries>
            <c15:filteredBarSeries>
              <c15:ser>
                <c:idx val="9"/>
                <c:order val="9"/>
                <c:tx>
                  <c:strRef>
                    <c:extLst xmlns:c15="http://schemas.microsoft.com/office/drawing/2012/chart">
                      <c:ext xmlns:c15="http://schemas.microsoft.com/office/drawing/2012/chart" uri="{02D57815-91ED-43cb-92C2-25804820EDAC}">
                        <c15:formulaRef>
                          <c15:sqref>Sheet3!$L$54:$L$56</c15:sqref>
                        </c15:formulaRef>
                      </c:ext>
                    </c:extLst>
                    <c:strCache>
                      <c:ptCount val="3"/>
                      <c:pt idx="0">
                        <c:v>S. aureus</c:v>
                      </c:pt>
                    </c:strCache>
                  </c:strRef>
                </c:tx>
                <c:spPr>
                  <a:solidFill>
                    <a:schemeClr val="accent6">
                      <a:lumMod val="8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xmlns:c15="http://schemas.microsoft.com/office/drawing/2012/chart">
                      <c:ext xmlns:c15="http://schemas.microsoft.com/office/drawing/2012/chart" uri="{02D57815-91ED-43cb-92C2-25804820EDAC}">
                        <c15:formulaRef>
                          <c15:sqref>Sheet3!$L$57:$L$80</c15:sqref>
                        </c15:formulaRef>
                      </c:ext>
                    </c:extLst>
                    <c:numCache>
                      <c:formatCode>General</c:formatCode>
                      <c:ptCount val="24"/>
                      <c:pt idx="0">
                        <c:v>15</c:v>
                      </c:pt>
                      <c:pt idx="1">
                        <c:v>278</c:v>
                      </c:pt>
                      <c:pt idx="2">
                        <c:v>0</c:v>
                      </c:pt>
                      <c:pt idx="5">
                        <c:v>708</c:v>
                      </c:pt>
                      <c:pt idx="6">
                        <c:v>35295</c:v>
                      </c:pt>
                      <c:pt idx="7">
                        <c:v>1257</c:v>
                      </c:pt>
                      <c:pt idx="10">
                        <c:v>2000</c:v>
                      </c:pt>
                      <c:pt idx="11">
                        <c:v>3787</c:v>
                      </c:pt>
                      <c:pt idx="12">
                        <c:v>2432</c:v>
                      </c:pt>
                      <c:pt idx="14">
                        <c:v>0</c:v>
                      </c:pt>
                      <c:pt idx="16">
                        <c:v>708</c:v>
                      </c:pt>
                      <c:pt idx="17">
                        <c:v>37</c:v>
                      </c:pt>
                      <c:pt idx="19">
                        <c:v>509</c:v>
                      </c:pt>
                      <c:pt idx="20">
                        <c:v>920</c:v>
                      </c:pt>
                      <c:pt idx="21">
                        <c:v>106</c:v>
                      </c:pt>
                    </c:numCache>
                  </c:numRef>
                </c:val>
                <c:extLst xmlns:c15="http://schemas.microsoft.com/office/drawing/2012/chart">
                  <c:ext xmlns:c16="http://schemas.microsoft.com/office/drawing/2014/chart" uri="{C3380CC4-5D6E-409C-BE32-E72D297353CC}">
                    <c16:uniqueId val="{0000000C-B994-5D46-A91D-0208C6819BBF}"/>
                  </c:ext>
                </c:extLst>
              </c15:ser>
            </c15:filteredBarSeries>
            <c15:filteredBarSeries>
              <c15:ser>
                <c:idx val="11"/>
                <c:order val="11"/>
                <c:tx>
                  <c:strRef>
                    <c:extLst xmlns:c15="http://schemas.microsoft.com/office/drawing/2012/chart">
                      <c:ext xmlns:c15="http://schemas.microsoft.com/office/drawing/2012/chart" uri="{02D57815-91ED-43cb-92C2-25804820EDAC}">
                        <c15:formulaRef>
                          <c15:sqref>Sheet3!$N$54:$N$56</c15:sqref>
                        </c15:formulaRef>
                      </c:ext>
                    </c:extLst>
                    <c:strCache>
                      <c:ptCount val="3"/>
                      <c:pt idx="0">
                        <c:v>S. pneumoniae</c:v>
                      </c:pt>
                    </c:strCache>
                  </c:strRef>
                </c:tx>
                <c:spPr>
                  <a:solidFill>
                    <a:schemeClr val="accent4">
                      <a:lumMod val="8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xmlns:c15="http://schemas.microsoft.com/office/drawing/2012/chart">
                      <c:ext xmlns:c15="http://schemas.microsoft.com/office/drawing/2012/chart" uri="{02D57815-91ED-43cb-92C2-25804820EDAC}">
                        <c15:formulaRef>
                          <c15:sqref>Sheet3!$N$57:$N$80</c15:sqref>
                        </c15:formulaRef>
                      </c:ext>
                    </c:extLst>
                    <c:numCache>
                      <c:formatCode>General</c:formatCode>
                      <c:ptCount val="24"/>
                      <c:pt idx="0">
                        <c:v>0</c:v>
                      </c:pt>
                      <c:pt idx="1">
                        <c:v>17</c:v>
                      </c:pt>
                      <c:pt idx="2">
                        <c:v>0</c:v>
                      </c:pt>
                      <c:pt idx="5">
                        <c:v>54</c:v>
                      </c:pt>
                      <c:pt idx="6">
                        <c:v>0</c:v>
                      </c:pt>
                      <c:pt idx="7">
                        <c:v>139</c:v>
                      </c:pt>
                      <c:pt idx="10">
                        <c:v>725</c:v>
                      </c:pt>
                      <c:pt idx="11">
                        <c:v>750</c:v>
                      </c:pt>
                      <c:pt idx="12">
                        <c:v>834</c:v>
                      </c:pt>
                      <c:pt idx="14">
                        <c:v>0</c:v>
                      </c:pt>
                      <c:pt idx="16">
                        <c:v>54</c:v>
                      </c:pt>
                      <c:pt idx="17">
                        <c:v>1736</c:v>
                      </c:pt>
                      <c:pt idx="19">
                        <c:v>448</c:v>
                      </c:pt>
                      <c:pt idx="20">
                        <c:v>650</c:v>
                      </c:pt>
                      <c:pt idx="21">
                        <c:v>0</c:v>
                      </c:pt>
                    </c:numCache>
                  </c:numRef>
                </c:val>
                <c:extLst xmlns:c15="http://schemas.microsoft.com/office/drawing/2012/chart">
                  <c:ext xmlns:c16="http://schemas.microsoft.com/office/drawing/2014/chart" uri="{C3380CC4-5D6E-409C-BE32-E72D297353CC}">
                    <c16:uniqueId val="{0000000D-B994-5D46-A91D-0208C6819BBF}"/>
                  </c:ext>
                </c:extLst>
              </c15:ser>
            </c15:filteredBarSeries>
            <c15:filteredBarSeries>
              <c15:ser>
                <c:idx val="13"/>
                <c:order val="13"/>
                <c:tx>
                  <c:strRef>
                    <c:extLst xmlns:c15="http://schemas.microsoft.com/office/drawing/2012/chart">
                      <c:ext xmlns:c15="http://schemas.microsoft.com/office/drawing/2012/chart" uri="{02D57815-91ED-43cb-92C2-25804820EDAC}">
                        <c15:formulaRef>
                          <c15:sqref>Sheet3!$P$54:$P$56</c15:sqref>
                        </c15:formulaRef>
                      </c:ext>
                    </c:extLst>
                    <c:strCache>
                      <c:ptCount val="3"/>
                      <c:pt idx="0">
                        <c:v>N. gonorrhoeae</c:v>
                      </c:pt>
                    </c:strCache>
                  </c:strRef>
                </c:tx>
                <c:spPr>
                  <a:solidFill>
                    <a:schemeClr val="accent5">
                      <a:lumMod val="60000"/>
                      <a:lumOff val="4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xmlns:c15="http://schemas.microsoft.com/office/drawing/2012/chart">
                      <c:ext xmlns:c15="http://schemas.microsoft.com/office/drawing/2012/chart" uri="{02D57815-91ED-43cb-92C2-25804820EDAC}">
                        <c15:formulaRef>
                          <c15:sqref>Sheet3!$P$57:$P$80</c15:sqref>
                        </c15:formulaRef>
                      </c:ext>
                    </c:extLst>
                    <c:numCache>
                      <c:formatCode>General</c:formatCode>
                      <c:ptCount val="24"/>
                      <c:pt idx="0">
                        <c:v>0</c:v>
                      </c:pt>
                      <c:pt idx="1">
                        <c:v>9</c:v>
                      </c:pt>
                      <c:pt idx="2">
                        <c:v>15</c:v>
                      </c:pt>
                      <c:pt idx="5">
                        <c:v>1</c:v>
                      </c:pt>
                      <c:pt idx="6">
                        <c:v>982</c:v>
                      </c:pt>
                      <c:pt idx="7">
                        <c:v>119</c:v>
                      </c:pt>
                      <c:pt idx="10">
                        <c:v>94</c:v>
                      </c:pt>
                      <c:pt idx="11">
                        <c:v>0</c:v>
                      </c:pt>
                      <c:pt idx="12">
                        <c:v>342</c:v>
                      </c:pt>
                      <c:pt idx="14">
                        <c:v>0</c:v>
                      </c:pt>
                      <c:pt idx="16">
                        <c:v>1</c:v>
                      </c:pt>
                      <c:pt idx="17">
                        <c:v>183</c:v>
                      </c:pt>
                      <c:pt idx="19">
                        <c:v>938</c:v>
                      </c:pt>
                      <c:pt idx="20">
                        <c:v>572</c:v>
                      </c:pt>
                      <c:pt idx="21">
                        <c:v>0</c:v>
                      </c:pt>
                    </c:numCache>
                  </c:numRef>
                </c:val>
                <c:extLst xmlns:c15="http://schemas.microsoft.com/office/drawing/2012/chart">
                  <c:ext xmlns:c16="http://schemas.microsoft.com/office/drawing/2014/chart" uri="{C3380CC4-5D6E-409C-BE32-E72D297353CC}">
                    <c16:uniqueId val="{0000000E-B994-5D46-A91D-0208C6819BBF}"/>
                  </c:ext>
                </c:extLst>
              </c15:ser>
            </c15:filteredBarSeries>
            <c15:filteredBarSeries>
              <c15:ser>
                <c:idx val="15"/>
                <c:order val="15"/>
                <c:tx>
                  <c:strRef>
                    <c:extLst xmlns:c15="http://schemas.microsoft.com/office/drawing/2012/chart">
                      <c:ext xmlns:c15="http://schemas.microsoft.com/office/drawing/2012/chart" uri="{02D57815-91ED-43cb-92C2-25804820EDAC}">
                        <c15:formulaRef>
                          <c15:sqref>Sheet3!$R$54:$R$56</c15:sqref>
                        </c15:formulaRef>
                      </c:ext>
                    </c:extLst>
                    <c:strCache>
                      <c:ptCount val="3"/>
                      <c:pt idx="0">
                        <c:v>DR Shigella </c:v>
                      </c:pt>
                    </c:strCache>
                  </c:strRef>
                </c:tx>
                <c:spPr>
                  <a:solidFill>
                    <a:schemeClr val="accent6">
                      <a:lumMod val="50000"/>
                    </a:schemeClr>
                  </a:solidFill>
                  <a:ln>
                    <a:noFill/>
                  </a:ln>
                  <a:effectLst/>
                </c:spPr>
                <c:invertIfNegative val="0"/>
                <c:cat>
                  <c:multiLvlStrRef>
                    <c:extLst xmlns:c15="http://schemas.microsoft.com/office/drawing/2012/chart">
                      <c:ext xmlns:c15="http://schemas.microsoft.com/office/drawing/2012/chart" uri="{02D57815-91ED-43cb-92C2-25804820EDAC}">
                        <c15:formulaRef>
                          <c15:sqref>Sheet3!$A$57:$B$80</c15:sqref>
                        </c15:formulaRef>
                      </c:ext>
                    </c:extLst>
                    <c:multiLvlStrCache>
                      <c:ptCount val="22"/>
                      <c:lvl>
                        <c:pt idx="0">
                          <c:v>Egypt</c:v>
                        </c:pt>
                        <c:pt idx="1">
                          <c:v>Tunisia</c:v>
                        </c:pt>
                        <c:pt idx="2">
                          <c:v>Bahrain</c:v>
                        </c:pt>
                        <c:pt idx="5">
                          <c:v>Korea</c:v>
                        </c:pt>
                        <c:pt idx="6">
                          <c:v>Japan</c:v>
                        </c:pt>
                        <c:pt idx="7">
                          <c:v>Philippines</c:v>
                        </c:pt>
                        <c:pt idx="10">
                          <c:v>Switzerland</c:v>
                        </c:pt>
                        <c:pt idx="11">
                          <c:v>Sweden</c:v>
                        </c:pt>
                        <c:pt idx="12">
                          <c:v>Finland</c:v>
                        </c:pt>
                        <c:pt idx="14">
                          <c:v>Canada</c:v>
                        </c:pt>
                        <c:pt idx="16">
                          <c:v>Korea</c:v>
                        </c:pt>
                        <c:pt idx="17">
                          <c:v>Thailand</c:v>
                        </c:pt>
                        <c:pt idx="19">
                          <c:v>Malawi</c:v>
                        </c:pt>
                        <c:pt idx="20">
                          <c:v>South Africa</c:v>
                        </c:pt>
                        <c:pt idx="21">
                          <c:v>Zambia</c:v>
                        </c:pt>
                      </c:lvl>
                      <c:lvl>
                        <c:pt idx="0">
                          <c:v>EMR</c:v>
                        </c:pt>
                        <c:pt idx="6">
                          <c:v>WPR</c:v>
                        </c:pt>
                        <c:pt idx="11">
                          <c:v>EUR</c:v>
                        </c:pt>
                        <c:pt idx="14">
                          <c:v>AMR</c:v>
                        </c:pt>
                        <c:pt idx="17">
                          <c:v>SEAR</c:v>
                        </c:pt>
                        <c:pt idx="20">
                          <c:v>AFR</c:v>
                        </c:pt>
                      </c:lvl>
                    </c:multiLvlStrCache>
                  </c:multiLvlStrRef>
                </c:cat>
                <c:val>
                  <c:numRef>
                    <c:extLst xmlns:c15="http://schemas.microsoft.com/office/drawing/2012/chart">
                      <c:ext xmlns:c15="http://schemas.microsoft.com/office/drawing/2012/chart" uri="{02D57815-91ED-43cb-92C2-25804820EDAC}">
                        <c15:formulaRef>
                          <c15:sqref>Sheet3!$R$57:$R$80</c15:sqref>
                        </c15:formulaRef>
                      </c:ext>
                    </c:extLst>
                    <c:numCache>
                      <c:formatCode>General</c:formatCode>
                      <c:ptCount val="24"/>
                      <c:pt idx="5">
                        <c:v>1</c:v>
                      </c:pt>
                      <c:pt idx="7">
                        <c:v>2</c:v>
                      </c:pt>
                      <c:pt idx="10">
                        <c:v>87</c:v>
                      </c:pt>
                      <c:pt idx="16">
                        <c:v>1</c:v>
                      </c:pt>
                      <c:pt idx="21">
                        <c:v>29</c:v>
                      </c:pt>
                    </c:numCache>
                  </c:numRef>
                </c:val>
                <c:extLst xmlns:c15="http://schemas.microsoft.com/office/drawing/2012/chart">
                  <c:ext xmlns:c16="http://schemas.microsoft.com/office/drawing/2014/chart" uri="{C3380CC4-5D6E-409C-BE32-E72D297353CC}">
                    <c16:uniqueId val="{0000000F-B994-5D46-A91D-0208C6819BBF}"/>
                  </c:ext>
                </c:extLst>
              </c15:ser>
            </c15:filteredBarSeries>
          </c:ext>
        </c:extLst>
      </c:barChart>
      <c:catAx>
        <c:axId val="21324059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Countries and their regions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9470088"/>
        <c:crosses val="autoZero"/>
        <c:auto val="1"/>
        <c:lblAlgn val="ctr"/>
        <c:lblOffset val="100"/>
        <c:noMultiLvlLbl val="0"/>
      </c:catAx>
      <c:valAx>
        <c:axId val="2109470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Resistant isolates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4059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10601</Words>
  <Characters>60428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70888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Mallory Trent</cp:lastModifiedBy>
  <cp:revision>4</cp:revision>
  <cp:lastPrinted>2020-07-13T02:49:00Z</cp:lastPrinted>
  <dcterms:created xsi:type="dcterms:W3CDTF">2020-07-13T02:49:00Z</dcterms:created>
  <dcterms:modified xsi:type="dcterms:W3CDTF">2020-07-13T02:52:00Z</dcterms:modified>
</cp:coreProperties>
</file>