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B991" w14:textId="77777777" w:rsidR="0022087D" w:rsidRDefault="0022087D" w:rsidP="0022087D">
      <w:pPr>
        <w:jc w:val="center"/>
        <w:rPr>
          <w:b/>
          <w:bCs/>
          <w:lang w:val="en-US"/>
        </w:rPr>
      </w:pPr>
      <w:r>
        <w:rPr>
          <w:b/>
          <w:bCs/>
          <w:lang w:val="en-US"/>
        </w:rPr>
        <w:t>A</w:t>
      </w:r>
      <w:r>
        <w:rPr>
          <w:rFonts w:hint="eastAsia"/>
          <w:b/>
          <w:bCs/>
          <w:lang w:val="en-US"/>
        </w:rPr>
        <w:t>ppendix</w:t>
      </w:r>
      <w:r>
        <w:rPr>
          <w:b/>
          <w:bCs/>
          <w:lang w:val="en-US"/>
        </w:rPr>
        <w:t xml:space="preserve"> 1</w:t>
      </w:r>
    </w:p>
    <w:p w14:paraId="433FB835" w14:textId="77777777" w:rsidR="0022087D" w:rsidRDefault="0022087D" w:rsidP="0022087D">
      <w:pPr>
        <w:rPr>
          <w:b/>
          <w:bCs/>
          <w:lang w:val="en-US"/>
        </w:rPr>
      </w:pPr>
    </w:p>
    <w:p w14:paraId="7E8A9C7F" w14:textId="77777777" w:rsidR="0022087D" w:rsidRDefault="0022087D" w:rsidP="0022087D">
      <w:pPr>
        <w:rPr>
          <w:color w:val="FF0000"/>
          <w:lang w:val="en-US"/>
        </w:rPr>
      </w:pPr>
      <w:r>
        <w:rPr>
          <w:lang w:val="en-US"/>
        </w:rPr>
        <w:t xml:space="preserve">1,943 reports were </w:t>
      </w:r>
      <w:r w:rsidRPr="006C0CB9">
        <w:rPr>
          <w:rFonts w:cs="Arial"/>
          <w:color w:val="000000" w:themeColor="text1"/>
          <w:shd w:val="clear" w:color="auto" w:fill="FFFFFF"/>
        </w:rPr>
        <w:t>gathered from 3</w:t>
      </w:r>
      <w:r>
        <w:rPr>
          <w:rFonts w:cs="Arial"/>
          <w:color w:val="000000" w:themeColor="text1"/>
          <w:shd w:val="clear" w:color="auto" w:fill="FFFFFF"/>
        </w:rPr>
        <w:t>2</w:t>
      </w:r>
      <w:r w:rsidRPr="006C0CB9">
        <w:rPr>
          <w:rFonts w:cs="Arial"/>
          <w:color w:val="000000" w:themeColor="text1"/>
          <w:shd w:val="clear" w:color="auto" w:fill="FFFFFF"/>
        </w:rPr>
        <w:t xml:space="preserve"> countries</w:t>
      </w:r>
      <w:r>
        <w:rPr>
          <w:rFonts w:cs="Arial"/>
          <w:color w:val="000000" w:themeColor="text1"/>
          <w:shd w:val="clear" w:color="auto" w:fill="FFFFFF"/>
        </w:rPr>
        <w:t>/</w:t>
      </w:r>
      <w:r w:rsidRPr="00042DE6">
        <w:rPr>
          <w:rFonts w:cs="Arial"/>
          <w:color w:val="000000" w:themeColor="text1"/>
          <w:shd w:val="clear" w:color="auto" w:fill="FFFFFF"/>
        </w:rPr>
        <w:t xml:space="preserve">regions by </w:t>
      </w:r>
      <w:r w:rsidRPr="00042DE6">
        <w:rPr>
          <w:color w:val="000000" w:themeColor="text1"/>
          <w:lang w:val="en-US"/>
        </w:rPr>
        <w:t>EPIWATCH®</w:t>
      </w:r>
      <w:r w:rsidRPr="00042DE6">
        <w:rPr>
          <w:rFonts w:cs="Arial"/>
          <w:color w:val="000000" w:themeColor="text1"/>
          <w:shd w:val="clear" w:color="auto" w:fill="FFFFFF"/>
        </w:rPr>
        <w:t xml:space="preserve"> and</w:t>
      </w:r>
      <w:r w:rsidRPr="00042DE6">
        <w:rPr>
          <w:color w:val="000000" w:themeColor="text1"/>
          <w:lang w:val="en-US"/>
        </w:rPr>
        <w:t xml:space="preserve"> selected </w:t>
      </w:r>
      <w:r>
        <w:rPr>
          <w:lang w:val="en-US"/>
        </w:rPr>
        <w:t>for further analysis</w:t>
      </w:r>
      <w:r w:rsidRPr="006C0CB9">
        <w:rPr>
          <w:rFonts w:cs="Arial"/>
          <w:color w:val="000000" w:themeColor="text1"/>
          <w:shd w:val="clear" w:color="auto" w:fill="FFFFFF"/>
        </w:rPr>
        <w:t>.</w:t>
      </w:r>
    </w:p>
    <w:p w14:paraId="26A2ACC6" w14:textId="77777777" w:rsidR="0022087D" w:rsidRDefault="0022087D" w:rsidP="0022087D">
      <w:pPr>
        <w:rPr>
          <w:b/>
          <w:bCs/>
          <w:lang w:val="en-US"/>
        </w:rPr>
      </w:pPr>
      <w:r>
        <w:rPr>
          <w:b/>
          <w:bCs/>
          <w:noProof/>
          <w:lang w:val="en-US"/>
        </w:rPr>
        <w:drawing>
          <wp:inline distT="0" distB="0" distL="0" distR="0" wp14:anchorId="6F29FB71" wp14:editId="38A016B0">
            <wp:extent cx="5037831" cy="4906108"/>
            <wp:effectExtent l="0" t="0" r="4445" b="0"/>
            <wp:docPr id="838673572" name="Picture 8"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09666" name="Picture 8" descr="A graph with numbers and lin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7609" cy="4954584"/>
                    </a:xfrm>
                    <a:prstGeom prst="rect">
                      <a:avLst/>
                    </a:prstGeom>
                  </pic:spPr>
                </pic:pic>
              </a:graphicData>
            </a:graphic>
          </wp:inline>
        </w:drawing>
      </w:r>
    </w:p>
    <w:p w14:paraId="49CAEC7D" w14:textId="77777777" w:rsidR="0022087D" w:rsidRDefault="0022087D" w:rsidP="0022087D">
      <w:pPr>
        <w:rPr>
          <w:rFonts w:cs="Arial"/>
          <w:b/>
          <w:bCs/>
          <w:color w:val="000000" w:themeColor="text1"/>
          <w:shd w:val="clear" w:color="auto" w:fill="FFFFFF"/>
        </w:rPr>
      </w:pPr>
      <w:r>
        <w:rPr>
          <w:rFonts w:cs="Arial"/>
          <w:b/>
          <w:bCs/>
          <w:color w:val="000000" w:themeColor="text1"/>
          <w:shd w:val="clear" w:color="auto" w:fill="FFFFFF"/>
        </w:rPr>
        <w:t>Figure 1. Number of Syndromic Surveillance Reports by Country or Region between 1 January 2023 and 11 February 2024</w:t>
      </w:r>
    </w:p>
    <w:p w14:paraId="08DF58F8" w14:textId="77777777" w:rsidR="0022087D" w:rsidRPr="00C22DA1" w:rsidRDefault="0022087D" w:rsidP="0022087D">
      <w:pPr>
        <w:rPr>
          <w:rFonts w:cs="Arial"/>
          <w:b/>
          <w:bCs/>
          <w:color w:val="000000" w:themeColor="text1"/>
          <w:shd w:val="clear" w:color="auto" w:fill="FFFFFF"/>
        </w:rPr>
      </w:pPr>
    </w:p>
    <w:p w14:paraId="7B64E899" w14:textId="77777777" w:rsidR="0022087D" w:rsidRDefault="0022087D" w:rsidP="0022087D">
      <w:pPr>
        <w:rPr>
          <w:rFonts w:cs="Arial"/>
          <w:color w:val="000000" w:themeColor="text1"/>
          <w:shd w:val="clear" w:color="auto" w:fill="FFFFFF"/>
        </w:rPr>
      </w:pPr>
      <w:r w:rsidRPr="008578CA">
        <w:rPr>
          <w:rFonts w:cs="Arial"/>
          <w:color w:val="000000" w:themeColor="text1"/>
          <w:shd w:val="clear" w:color="auto" w:fill="FFFFFF"/>
        </w:rPr>
        <w:t xml:space="preserve">Early signals of the outbreak first surfaced in China around mid-August 2023. The frequency of reports started to increase in October 2023, and by November of the same year, there was a significant spike in reports within the </w:t>
      </w:r>
      <w:r w:rsidRPr="008578CA">
        <w:rPr>
          <w:color w:val="000000" w:themeColor="text1"/>
          <w:lang w:val="en-US"/>
        </w:rPr>
        <w:t>EPIWATCH®</w:t>
      </w:r>
      <w:r w:rsidRPr="008578CA">
        <w:rPr>
          <w:rFonts w:cs="Arial"/>
          <w:color w:val="000000" w:themeColor="text1"/>
          <w:shd w:val="clear" w:color="auto" w:fill="FFFFFF"/>
        </w:rPr>
        <w:t xml:space="preserve"> system. Thailand had a noticeable upward trend in November 2023, which peaked in December. In India, Bangladesh, Indonesia, the Philippines, South Korea, and Japan, the trend started rising in October, reaching its zenith in December, and declining in January 2024. Moreover, Indonesia reported confirmed Mycoplasma pneumonia infections in December 2023. </w:t>
      </w:r>
    </w:p>
    <w:p w14:paraId="693C32DC" w14:textId="77777777" w:rsidR="0022087D" w:rsidRPr="008578CA" w:rsidRDefault="0022087D" w:rsidP="0022087D">
      <w:pPr>
        <w:rPr>
          <w:rFonts w:cs="Arial"/>
          <w:color w:val="000000" w:themeColor="text1"/>
          <w:shd w:val="clear" w:color="auto" w:fill="FFFFFF"/>
        </w:rPr>
      </w:pPr>
      <w:r>
        <w:rPr>
          <w:rFonts w:cs="Arial"/>
          <w:color w:val="000000" w:themeColor="text1"/>
          <w:shd w:val="clear" w:color="auto" w:fill="FFFFFF"/>
        </w:rPr>
        <w:lastRenderedPageBreak/>
        <w:t>Among Asian countries</w:t>
      </w:r>
      <w:r w:rsidRPr="008578CA">
        <w:rPr>
          <w:rFonts w:cs="Arial"/>
          <w:color w:val="000000" w:themeColor="text1"/>
          <w:shd w:val="clear" w:color="auto" w:fill="FFFFFF"/>
        </w:rPr>
        <w:t>, Vietnam experienced a peak in cases in June, followed by another surge in December. In May and June of 2023, confirmed cases of MP were reported (Figure 2).</w:t>
      </w:r>
    </w:p>
    <w:p w14:paraId="457816BC" w14:textId="77777777" w:rsidR="0022087D" w:rsidRDefault="0022087D" w:rsidP="0022087D">
      <w:pPr>
        <w:rPr>
          <w:b/>
          <w:bCs/>
          <w:lang w:val="en-US"/>
        </w:rPr>
      </w:pPr>
    </w:p>
    <w:p w14:paraId="2B0D0AF5" w14:textId="77777777" w:rsidR="0022087D" w:rsidRDefault="0022087D" w:rsidP="0022087D">
      <w:pPr>
        <w:rPr>
          <w:rFonts w:cs="Arial"/>
          <w:color w:val="000000" w:themeColor="text1"/>
          <w:shd w:val="clear" w:color="auto" w:fill="FFFFFF"/>
        </w:rPr>
      </w:pPr>
      <w:r>
        <w:rPr>
          <w:rFonts w:cs="Arial"/>
          <w:noProof/>
          <w:color w:val="000000" w:themeColor="text1"/>
          <w:shd w:val="clear" w:color="auto" w:fill="FFFFFF"/>
        </w:rPr>
        <w:drawing>
          <wp:inline distT="0" distB="0" distL="0" distR="0" wp14:anchorId="7093227F" wp14:editId="579F43B1">
            <wp:extent cx="3710354" cy="3229397"/>
            <wp:effectExtent l="0" t="0" r="0" b="0"/>
            <wp:docPr id="2088684945" name="Picture 2"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61461" name="Picture 2" descr="A graph with different colored lin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28468" cy="3245163"/>
                    </a:xfrm>
                    <a:prstGeom prst="rect">
                      <a:avLst/>
                    </a:prstGeom>
                  </pic:spPr>
                </pic:pic>
              </a:graphicData>
            </a:graphic>
          </wp:inline>
        </w:drawing>
      </w:r>
    </w:p>
    <w:p w14:paraId="2E6A189F" w14:textId="77777777" w:rsidR="0022087D" w:rsidRDefault="0022087D" w:rsidP="0022087D">
      <w:pPr>
        <w:rPr>
          <w:rFonts w:cs="Arial"/>
          <w:b/>
          <w:bCs/>
          <w:color w:val="000000" w:themeColor="text1"/>
          <w:shd w:val="clear" w:color="auto" w:fill="FFFFFF"/>
        </w:rPr>
      </w:pPr>
      <w:r>
        <w:rPr>
          <w:rFonts w:cs="Arial"/>
          <w:b/>
          <w:bCs/>
          <w:color w:val="000000" w:themeColor="text1"/>
          <w:shd w:val="clear" w:color="auto" w:fill="FFFFFF"/>
        </w:rPr>
        <w:t>Figure 2.  The Trends of Syndromic Surveillance in Asian Countries between 1 January 2023 and 11 February 2024</w:t>
      </w:r>
    </w:p>
    <w:p w14:paraId="373F4768" w14:textId="77777777" w:rsidR="0022087D" w:rsidRDefault="0022087D" w:rsidP="0022087D">
      <w:pPr>
        <w:rPr>
          <w:rFonts w:cs="Arial"/>
          <w:b/>
          <w:bCs/>
          <w:color w:val="000000" w:themeColor="text1"/>
          <w:shd w:val="clear" w:color="auto" w:fill="FFFFFF"/>
        </w:rPr>
      </w:pPr>
    </w:p>
    <w:p w14:paraId="11A32ABD" w14:textId="77777777" w:rsidR="0022087D" w:rsidRPr="00CD7978" w:rsidRDefault="0022087D" w:rsidP="0022087D">
      <w:pPr>
        <w:rPr>
          <w:rFonts w:cs="Arial"/>
          <w:color w:val="000000" w:themeColor="text1"/>
          <w:shd w:val="clear" w:color="auto" w:fill="FFFFFF"/>
        </w:rPr>
      </w:pPr>
      <w:r w:rsidRPr="00CD7978">
        <w:rPr>
          <w:rFonts w:cs="Arial"/>
          <w:color w:val="000000" w:themeColor="text1"/>
          <w:shd w:val="clear" w:color="auto" w:fill="FFFFFF"/>
        </w:rPr>
        <w:t>In December,</w:t>
      </w:r>
      <w:r>
        <w:rPr>
          <w:rFonts w:cs="Arial"/>
          <w:color w:val="000000" w:themeColor="text1"/>
          <w:shd w:val="clear" w:color="auto" w:fill="FFFFFF"/>
        </w:rPr>
        <w:t xml:space="preserve"> countries in the</w:t>
      </w:r>
      <w:r w:rsidRPr="00CD7978">
        <w:rPr>
          <w:rFonts w:cs="Arial"/>
          <w:color w:val="000000" w:themeColor="text1"/>
          <w:shd w:val="clear" w:color="auto" w:fill="FFFFFF"/>
        </w:rPr>
        <w:t xml:space="preserve"> Europe </w:t>
      </w:r>
      <w:r>
        <w:rPr>
          <w:rFonts w:cs="Arial"/>
          <w:color w:val="000000" w:themeColor="text1"/>
          <w:shd w:val="clear" w:color="auto" w:fill="FFFFFF"/>
        </w:rPr>
        <w:t xml:space="preserve">region </w:t>
      </w:r>
      <w:r w:rsidRPr="00CD7978">
        <w:rPr>
          <w:rFonts w:cs="Arial"/>
          <w:color w:val="000000" w:themeColor="text1"/>
          <w:shd w:val="clear" w:color="auto" w:fill="FFFFFF"/>
        </w:rPr>
        <w:t xml:space="preserve">experienced a significant increase in reports related to Mycoplasma pneumonia (Figure 3). Italy, Spain, and Denmark saw a sharp rise in cases during this month. Similarly, in the Netherlands, France, the Czech Republic, and Romania, the trend started to ascend in November, reached its zenith in December, and then began to decline. In Russia, confirmed cases of MP infection were reported on August 20, 2023, with a steady climb in trends from that point, reaching their highest point in December. </w:t>
      </w:r>
    </w:p>
    <w:p w14:paraId="3BAB52DA" w14:textId="77777777" w:rsidR="0022087D" w:rsidRPr="00C22DA1" w:rsidRDefault="0022087D" w:rsidP="0022087D">
      <w:pPr>
        <w:rPr>
          <w:rFonts w:cs="Arial"/>
          <w:b/>
          <w:bCs/>
          <w:color w:val="000000" w:themeColor="text1"/>
          <w:shd w:val="clear" w:color="auto" w:fill="FFFFFF"/>
        </w:rPr>
      </w:pPr>
    </w:p>
    <w:p w14:paraId="369645E5" w14:textId="77777777" w:rsidR="0022087D" w:rsidRDefault="0022087D" w:rsidP="0022087D">
      <w:pPr>
        <w:rPr>
          <w:rFonts w:cs="Arial"/>
          <w:color w:val="000000" w:themeColor="text1"/>
          <w:shd w:val="clear" w:color="auto" w:fill="FFFFFF"/>
        </w:rPr>
      </w:pPr>
      <w:r>
        <w:rPr>
          <w:rFonts w:cs="Arial"/>
          <w:noProof/>
          <w:color w:val="000000" w:themeColor="text1"/>
          <w:shd w:val="clear" w:color="auto" w:fill="FFFFFF"/>
        </w:rPr>
        <w:lastRenderedPageBreak/>
        <w:drawing>
          <wp:inline distT="0" distB="0" distL="0" distR="0" wp14:anchorId="13F4CA53" wp14:editId="310290A5">
            <wp:extent cx="3838310" cy="3279531"/>
            <wp:effectExtent l="0" t="0" r="0" b="0"/>
            <wp:docPr id="980025252"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49020" name="Picture 3" descr="A graph of different colored lin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8201" cy="3296526"/>
                    </a:xfrm>
                    <a:prstGeom prst="rect">
                      <a:avLst/>
                    </a:prstGeom>
                  </pic:spPr>
                </pic:pic>
              </a:graphicData>
            </a:graphic>
          </wp:inline>
        </w:drawing>
      </w:r>
    </w:p>
    <w:p w14:paraId="3E042DB8" w14:textId="77777777" w:rsidR="0022087D" w:rsidRDefault="0022087D" w:rsidP="0022087D">
      <w:pPr>
        <w:rPr>
          <w:rFonts w:cs="Arial"/>
          <w:b/>
          <w:bCs/>
          <w:color w:val="000000" w:themeColor="text1"/>
          <w:shd w:val="clear" w:color="auto" w:fill="FFFFFF"/>
        </w:rPr>
      </w:pPr>
      <w:r>
        <w:rPr>
          <w:rFonts w:cs="Arial"/>
          <w:b/>
          <w:bCs/>
          <w:color w:val="000000" w:themeColor="text1"/>
          <w:shd w:val="clear" w:color="auto" w:fill="FFFFFF"/>
        </w:rPr>
        <w:t>Figure 3. The Trends of Syndromic Surveillance in European Countries between 1 January 2023 and 11 February 2024</w:t>
      </w:r>
    </w:p>
    <w:p w14:paraId="415AC948" w14:textId="77777777" w:rsidR="0022087D" w:rsidRDefault="0022087D" w:rsidP="0022087D">
      <w:pPr>
        <w:rPr>
          <w:rFonts w:cs="Arial"/>
          <w:b/>
          <w:bCs/>
          <w:color w:val="000000" w:themeColor="text1"/>
          <w:shd w:val="clear" w:color="auto" w:fill="FFFFFF"/>
        </w:rPr>
      </w:pPr>
    </w:p>
    <w:p w14:paraId="52E8960A" w14:textId="77777777" w:rsidR="0022087D" w:rsidRDefault="0022087D" w:rsidP="0022087D">
      <w:pPr>
        <w:rPr>
          <w:rFonts w:cs="Arial"/>
          <w:color w:val="000000" w:themeColor="text1"/>
          <w:shd w:val="clear" w:color="auto" w:fill="FFFFFF"/>
        </w:rPr>
      </w:pPr>
    </w:p>
    <w:p w14:paraId="3FD0D107" w14:textId="77777777" w:rsidR="0022087D" w:rsidRPr="00C22DA1" w:rsidRDefault="0022087D" w:rsidP="0022087D">
      <w:pPr>
        <w:rPr>
          <w:rFonts w:cs="Arial"/>
          <w:b/>
          <w:bCs/>
          <w:color w:val="000000" w:themeColor="text1"/>
          <w:shd w:val="clear" w:color="auto" w:fill="FFFFFF"/>
        </w:rPr>
      </w:pPr>
      <w:r w:rsidRPr="00CD7978">
        <w:rPr>
          <w:rFonts w:cs="Arial"/>
          <w:color w:val="000000" w:themeColor="text1"/>
          <w:shd w:val="clear" w:color="auto" w:fill="FFFFFF"/>
        </w:rPr>
        <w:t>In the Americas region (Figure 4), Mexico saw its trend commence in October 2023, steadily climbing until December, and has since experienced a slight decline since February 2024. Conversely, in the USA, the trend began its ascent in October 2023, escalating significantly from November, reaching its peak in December, and subsequently declining in January 2024.</w:t>
      </w:r>
      <w:r w:rsidRPr="00CD7978">
        <w:rPr>
          <w:rFonts w:cs="Arial"/>
          <w:b/>
          <w:bCs/>
          <w:color w:val="000000" w:themeColor="text1"/>
          <w:shd w:val="clear" w:color="auto" w:fill="FFFFFF"/>
        </w:rPr>
        <w:t xml:space="preserve"> </w:t>
      </w:r>
    </w:p>
    <w:p w14:paraId="48EFD9C0" w14:textId="77777777" w:rsidR="0022087D" w:rsidRDefault="0022087D" w:rsidP="0022087D">
      <w:pPr>
        <w:rPr>
          <w:rFonts w:cs="Arial"/>
          <w:color w:val="000000" w:themeColor="text1"/>
          <w:shd w:val="clear" w:color="auto" w:fill="FFFFFF"/>
        </w:rPr>
      </w:pPr>
      <w:r>
        <w:rPr>
          <w:rFonts w:cs="Arial"/>
          <w:noProof/>
          <w:color w:val="000000" w:themeColor="text1"/>
          <w:shd w:val="clear" w:color="auto" w:fill="FFFFFF"/>
        </w:rPr>
        <w:lastRenderedPageBreak/>
        <w:drawing>
          <wp:inline distT="0" distB="0" distL="0" distR="0" wp14:anchorId="4A73D026" wp14:editId="58052336">
            <wp:extent cx="3448112" cy="3261946"/>
            <wp:effectExtent l="0" t="0" r="0" b="2540"/>
            <wp:docPr id="431408500" name="Picture 4" descr="A graph of the country's popul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4785" name="Picture 4" descr="A graph of the country's populati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9686" cy="3282356"/>
                    </a:xfrm>
                    <a:prstGeom prst="rect">
                      <a:avLst/>
                    </a:prstGeom>
                  </pic:spPr>
                </pic:pic>
              </a:graphicData>
            </a:graphic>
          </wp:inline>
        </w:drawing>
      </w:r>
    </w:p>
    <w:p w14:paraId="34817D48" w14:textId="77777777" w:rsidR="0022087D" w:rsidRDefault="0022087D" w:rsidP="0022087D">
      <w:pPr>
        <w:rPr>
          <w:rFonts w:cs="Arial"/>
          <w:b/>
          <w:bCs/>
          <w:color w:val="000000" w:themeColor="text1"/>
          <w:shd w:val="clear" w:color="auto" w:fill="FFFFFF"/>
        </w:rPr>
      </w:pPr>
      <w:r>
        <w:rPr>
          <w:rFonts w:cs="Arial"/>
          <w:b/>
          <w:bCs/>
          <w:color w:val="000000" w:themeColor="text1"/>
          <w:shd w:val="clear" w:color="auto" w:fill="FFFFFF"/>
        </w:rPr>
        <w:t>Figure 4.  The Trends of Syndromic Surveillance in American Countries between 1 January 2023 and 11 February 2024</w:t>
      </w:r>
    </w:p>
    <w:p w14:paraId="66B00786" w14:textId="77777777" w:rsidR="0022087D" w:rsidRDefault="0022087D" w:rsidP="0022087D">
      <w:pPr>
        <w:rPr>
          <w:rFonts w:cs="Arial"/>
          <w:b/>
          <w:bCs/>
          <w:color w:val="000000" w:themeColor="text1"/>
          <w:shd w:val="clear" w:color="auto" w:fill="FFFFFF"/>
        </w:rPr>
      </w:pPr>
    </w:p>
    <w:p w14:paraId="0A1D8DC1" w14:textId="77777777" w:rsidR="0022087D" w:rsidRDefault="0022087D" w:rsidP="0022087D">
      <w:pPr>
        <w:rPr>
          <w:rFonts w:cs="Arial"/>
          <w:color w:val="000000" w:themeColor="text1"/>
          <w:shd w:val="clear" w:color="auto" w:fill="FFFFFF"/>
        </w:rPr>
      </w:pPr>
      <w:r w:rsidRPr="00CD7978">
        <w:rPr>
          <w:rFonts w:cs="Arial"/>
          <w:color w:val="000000" w:themeColor="text1"/>
          <w:shd w:val="clear" w:color="auto" w:fill="FFFFFF"/>
        </w:rPr>
        <w:t xml:space="preserve">In Pakistan and Palestine (Figure </w:t>
      </w:r>
      <w:r>
        <w:rPr>
          <w:rFonts w:cs="Arial"/>
          <w:color w:val="000000" w:themeColor="text1"/>
          <w:shd w:val="clear" w:color="auto" w:fill="FFFFFF"/>
        </w:rPr>
        <w:t>5</w:t>
      </w:r>
      <w:r w:rsidRPr="00CD7978">
        <w:rPr>
          <w:rFonts w:cs="Arial"/>
          <w:color w:val="000000" w:themeColor="text1"/>
          <w:shd w:val="clear" w:color="auto" w:fill="FFFFFF"/>
        </w:rPr>
        <w:t xml:space="preserve">), the trend began its ascent in November 2023, reaching its peak in January 2024 before gradually declining thereafter. Lastly, in Australia, a slight increase was observed in July 2023 (Figure </w:t>
      </w:r>
      <w:r>
        <w:rPr>
          <w:rFonts w:cs="Arial"/>
          <w:color w:val="000000" w:themeColor="text1"/>
          <w:shd w:val="clear" w:color="auto" w:fill="FFFFFF"/>
        </w:rPr>
        <w:t>6</w:t>
      </w:r>
      <w:r w:rsidRPr="00CD7978">
        <w:rPr>
          <w:rFonts w:cs="Arial"/>
          <w:color w:val="000000" w:themeColor="text1"/>
          <w:shd w:val="clear" w:color="auto" w:fill="FFFFFF"/>
        </w:rPr>
        <w:t xml:space="preserve">). </w:t>
      </w:r>
    </w:p>
    <w:p w14:paraId="2AD3D212" w14:textId="77777777" w:rsidR="0022087D" w:rsidRPr="00C22DA1" w:rsidRDefault="0022087D" w:rsidP="0022087D">
      <w:pPr>
        <w:rPr>
          <w:rFonts w:cs="Arial"/>
          <w:b/>
          <w:bCs/>
          <w:color w:val="000000" w:themeColor="text1"/>
          <w:shd w:val="clear" w:color="auto" w:fill="FFFFFF"/>
        </w:rPr>
      </w:pPr>
      <w:r>
        <w:rPr>
          <w:rFonts w:cs="Arial"/>
          <w:b/>
          <w:bCs/>
          <w:noProof/>
          <w:color w:val="000000" w:themeColor="text1"/>
          <w:shd w:val="clear" w:color="auto" w:fill="FFFFFF"/>
        </w:rPr>
        <w:drawing>
          <wp:inline distT="0" distB="0" distL="0" distR="0" wp14:anchorId="5824AD8D" wp14:editId="1222D962">
            <wp:extent cx="3181803" cy="3165231"/>
            <wp:effectExtent l="0" t="0" r="6350" b="0"/>
            <wp:docPr id="2052081286" name="Picture 5"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36094" name="Picture 5" descr="A graph with numbers an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6275" cy="3189576"/>
                    </a:xfrm>
                    <a:prstGeom prst="rect">
                      <a:avLst/>
                    </a:prstGeom>
                  </pic:spPr>
                </pic:pic>
              </a:graphicData>
            </a:graphic>
          </wp:inline>
        </w:drawing>
      </w:r>
    </w:p>
    <w:p w14:paraId="1B2ED5C8" w14:textId="77777777" w:rsidR="0022087D" w:rsidRDefault="0022087D" w:rsidP="0022087D">
      <w:pPr>
        <w:rPr>
          <w:rFonts w:cs="Arial"/>
          <w:b/>
          <w:bCs/>
          <w:color w:val="000000" w:themeColor="text1"/>
          <w:shd w:val="clear" w:color="auto" w:fill="FFFFFF"/>
        </w:rPr>
      </w:pPr>
      <w:r>
        <w:rPr>
          <w:rFonts w:cs="Arial"/>
          <w:b/>
          <w:bCs/>
          <w:color w:val="000000" w:themeColor="text1"/>
          <w:shd w:val="clear" w:color="auto" w:fill="FFFFFF"/>
        </w:rPr>
        <w:t xml:space="preserve">Figure </w:t>
      </w:r>
      <w:r>
        <w:rPr>
          <w:rFonts w:cs="Arial" w:hint="eastAsia"/>
          <w:b/>
          <w:bCs/>
          <w:color w:val="000000" w:themeColor="text1"/>
          <w:shd w:val="clear" w:color="auto" w:fill="FFFFFF"/>
        </w:rPr>
        <w:t>5.</w:t>
      </w:r>
      <w:r>
        <w:rPr>
          <w:rFonts w:cs="Arial"/>
          <w:b/>
          <w:bCs/>
          <w:color w:val="000000" w:themeColor="text1"/>
          <w:shd w:val="clear" w:color="auto" w:fill="FFFFFF"/>
        </w:rPr>
        <w:t xml:space="preserve">  The Trends of Syndromic Surveillance in Middle Eastern Countries between 1 January 2023 and 11 February 2024</w:t>
      </w:r>
    </w:p>
    <w:p w14:paraId="6ECC19F1" w14:textId="77777777" w:rsidR="0022087D" w:rsidRPr="00C22DA1" w:rsidRDefault="0022087D" w:rsidP="0022087D">
      <w:pPr>
        <w:rPr>
          <w:rFonts w:cs="Arial"/>
          <w:b/>
          <w:bCs/>
          <w:color w:val="000000" w:themeColor="text1"/>
          <w:shd w:val="clear" w:color="auto" w:fill="FFFFFF"/>
        </w:rPr>
      </w:pPr>
    </w:p>
    <w:p w14:paraId="270C2CE9" w14:textId="77777777" w:rsidR="0022087D" w:rsidRDefault="0022087D" w:rsidP="0022087D">
      <w:pPr>
        <w:rPr>
          <w:rFonts w:cs="Arial"/>
          <w:b/>
          <w:bCs/>
          <w:color w:val="000000" w:themeColor="text1"/>
          <w:shd w:val="clear" w:color="auto" w:fill="FFFFFF"/>
        </w:rPr>
      </w:pPr>
      <w:r>
        <w:rPr>
          <w:rFonts w:cs="Arial"/>
          <w:b/>
          <w:bCs/>
          <w:noProof/>
          <w:color w:val="000000" w:themeColor="text1"/>
          <w:shd w:val="clear" w:color="auto" w:fill="FFFFFF"/>
        </w:rPr>
        <w:drawing>
          <wp:inline distT="0" distB="0" distL="0" distR="0" wp14:anchorId="5DFA524D" wp14:editId="67343BAC">
            <wp:extent cx="3215160" cy="3094892"/>
            <wp:effectExtent l="0" t="0" r="0" b="4445"/>
            <wp:docPr id="1430722464" name="Picture 6"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8082" name="Picture 6" descr="A graph with blue lin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4191" cy="3122837"/>
                    </a:xfrm>
                    <a:prstGeom prst="rect">
                      <a:avLst/>
                    </a:prstGeom>
                  </pic:spPr>
                </pic:pic>
              </a:graphicData>
            </a:graphic>
          </wp:inline>
        </w:drawing>
      </w:r>
    </w:p>
    <w:p w14:paraId="1923B1F3" w14:textId="77777777" w:rsidR="0022087D" w:rsidRPr="00C22DA1" w:rsidRDefault="0022087D" w:rsidP="0022087D">
      <w:pPr>
        <w:rPr>
          <w:rFonts w:cs="Arial"/>
          <w:b/>
          <w:bCs/>
          <w:color w:val="000000" w:themeColor="text1"/>
          <w:shd w:val="clear" w:color="auto" w:fill="FFFFFF"/>
        </w:rPr>
      </w:pPr>
      <w:r>
        <w:rPr>
          <w:rFonts w:cs="Arial"/>
          <w:b/>
          <w:bCs/>
          <w:color w:val="000000" w:themeColor="text1"/>
          <w:shd w:val="clear" w:color="auto" w:fill="FFFFFF"/>
        </w:rPr>
        <w:t xml:space="preserve">Figure </w:t>
      </w:r>
      <w:r>
        <w:rPr>
          <w:rFonts w:cs="Arial" w:hint="eastAsia"/>
          <w:b/>
          <w:bCs/>
          <w:color w:val="000000" w:themeColor="text1"/>
          <w:shd w:val="clear" w:color="auto" w:fill="FFFFFF"/>
        </w:rPr>
        <w:t>6</w:t>
      </w:r>
      <w:r>
        <w:rPr>
          <w:rFonts w:cs="Arial"/>
          <w:b/>
          <w:bCs/>
          <w:color w:val="000000" w:themeColor="text1"/>
          <w:shd w:val="clear" w:color="auto" w:fill="FFFFFF"/>
        </w:rPr>
        <w:t>. The Trend of Syndromic Surveillance in Australia between 1 January 2023 and 11 February 2024</w:t>
      </w:r>
    </w:p>
    <w:p w14:paraId="096E7FD0" w14:textId="77777777" w:rsidR="0022087D" w:rsidRPr="002C01DD" w:rsidRDefault="0022087D" w:rsidP="0022087D">
      <w:pPr>
        <w:rPr>
          <w:rFonts w:cs="Arial"/>
          <w:b/>
          <w:bCs/>
          <w:color w:val="000000" w:themeColor="text1"/>
          <w:shd w:val="clear" w:color="auto" w:fill="FFFFFF"/>
        </w:rPr>
      </w:pPr>
    </w:p>
    <w:p w14:paraId="64F040DC" w14:textId="77777777" w:rsidR="00962738" w:rsidRDefault="00962738"/>
    <w:sectPr w:rsidR="00962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7D"/>
    <w:rsid w:val="00006A98"/>
    <w:rsid w:val="0001399D"/>
    <w:rsid w:val="00016958"/>
    <w:rsid w:val="00016AE2"/>
    <w:rsid w:val="00025F8A"/>
    <w:rsid w:val="00035226"/>
    <w:rsid w:val="000411CB"/>
    <w:rsid w:val="000464C7"/>
    <w:rsid w:val="00066CB9"/>
    <w:rsid w:val="00072192"/>
    <w:rsid w:val="00073163"/>
    <w:rsid w:val="00073A14"/>
    <w:rsid w:val="000776FB"/>
    <w:rsid w:val="0008610B"/>
    <w:rsid w:val="00092C82"/>
    <w:rsid w:val="00097148"/>
    <w:rsid w:val="000A6BA6"/>
    <w:rsid w:val="000B242F"/>
    <w:rsid w:val="000B48CC"/>
    <w:rsid w:val="000C0F0D"/>
    <w:rsid w:val="000C24BC"/>
    <w:rsid w:val="000C39B0"/>
    <w:rsid w:val="000C3F51"/>
    <w:rsid w:val="000C77E6"/>
    <w:rsid w:val="000E36B7"/>
    <w:rsid w:val="000F0DD1"/>
    <w:rsid w:val="000F33A3"/>
    <w:rsid w:val="000F5DE7"/>
    <w:rsid w:val="001174C0"/>
    <w:rsid w:val="001256EC"/>
    <w:rsid w:val="00132205"/>
    <w:rsid w:val="00140BFF"/>
    <w:rsid w:val="0014139B"/>
    <w:rsid w:val="00141A36"/>
    <w:rsid w:val="00150891"/>
    <w:rsid w:val="00154F35"/>
    <w:rsid w:val="00160437"/>
    <w:rsid w:val="001625B8"/>
    <w:rsid w:val="00162764"/>
    <w:rsid w:val="00162F2D"/>
    <w:rsid w:val="00163EFD"/>
    <w:rsid w:val="00170EA8"/>
    <w:rsid w:val="001744C6"/>
    <w:rsid w:val="00175A5A"/>
    <w:rsid w:val="00187F60"/>
    <w:rsid w:val="00194102"/>
    <w:rsid w:val="001A010C"/>
    <w:rsid w:val="001A06D7"/>
    <w:rsid w:val="001B6395"/>
    <w:rsid w:val="001C2839"/>
    <w:rsid w:val="001C53E3"/>
    <w:rsid w:val="001D2A5C"/>
    <w:rsid w:val="001D431C"/>
    <w:rsid w:val="001D6542"/>
    <w:rsid w:val="001E01FE"/>
    <w:rsid w:val="001E17C1"/>
    <w:rsid w:val="001E2C75"/>
    <w:rsid w:val="001E2EB1"/>
    <w:rsid w:val="001E5BED"/>
    <w:rsid w:val="001F0B08"/>
    <w:rsid w:val="001F34EC"/>
    <w:rsid w:val="00201A0C"/>
    <w:rsid w:val="002034E9"/>
    <w:rsid w:val="00210D1F"/>
    <w:rsid w:val="00212B5A"/>
    <w:rsid w:val="0022087D"/>
    <w:rsid w:val="002268F7"/>
    <w:rsid w:val="00236917"/>
    <w:rsid w:val="00237E37"/>
    <w:rsid w:val="0024560A"/>
    <w:rsid w:val="0024644C"/>
    <w:rsid w:val="002505CE"/>
    <w:rsid w:val="00270E75"/>
    <w:rsid w:val="0027247A"/>
    <w:rsid w:val="00280C22"/>
    <w:rsid w:val="00285126"/>
    <w:rsid w:val="00285457"/>
    <w:rsid w:val="00285B0C"/>
    <w:rsid w:val="0029332F"/>
    <w:rsid w:val="00297311"/>
    <w:rsid w:val="002B0382"/>
    <w:rsid w:val="002B22DE"/>
    <w:rsid w:val="002C2D15"/>
    <w:rsid w:val="002D0BFA"/>
    <w:rsid w:val="002D5B07"/>
    <w:rsid w:val="002E1D73"/>
    <w:rsid w:val="002E44AC"/>
    <w:rsid w:val="002E556A"/>
    <w:rsid w:val="002E575C"/>
    <w:rsid w:val="002E7C3D"/>
    <w:rsid w:val="002F75FF"/>
    <w:rsid w:val="003100CE"/>
    <w:rsid w:val="00323E43"/>
    <w:rsid w:val="003258C9"/>
    <w:rsid w:val="003304F6"/>
    <w:rsid w:val="00330D6B"/>
    <w:rsid w:val="0033350C"/>
    <w:rsid w:val="00346A63"/>
    <w:rsid w:val="00352C38"/>
    <w:rsid w:val="0036225D"/>
    <w:rsid w:val="00366CFC"/>
    <w:rsid w:val="00371FCC"/>
    <w:rsid w:val="003735DD"/>
    <w:rsid w:val="003760A1"/>
    <w:rsid w:val="00380FDC"/>
    <w:rsid w:val="00384937"/>
    <w:rsid w:val="00386729"/>
    <w:rsid w:val="003A5CC9"/>
    <w:rsid w:val="003A5FFA"/>
    <w:rsid w:val="003B3EE6"/>
    <w:rsid w:val="003B7E9B"/>
    <w:rsid w:val="003C1E1F"/>
    <w:rsid w:val="003D16CF"/>
    <w:rsid w:val="003D25EB"/>
    <w:rsid w:val="003E138F"/>
    <w:rsid w:val="003E59DC"/>
    <w:rsid w:val="003F77A6"/>
    <w:rsid w:val="00405448"/>
    <w:rsid w:val="004071D6"/>
    <w:rsid w:val="00416804"/>
    <w:rsid w:val="00424B8D"/>
    <w:rsid w:val="004309AE"/>
    <w:rsid w:val="0043595A"/>
    <w:rsid w:val="00436EEA"/>
    <w:rsid w:val="004574DE"/>
    <w:rsid w:val="004600C3"/>
    <w:rsid w:val="004641B4"/>
    <w:rsid w:val="0046572A"/>
    <w:rsid w:val="00471542"/>
    <w:rsid w:val="004754EA"/>
    <w:rsid w:val="00477B79"/>
    <w:rsid w:val="004808FC"/>
    <w:rsid w:val="00482A1F"/>
    <w:rsid w:val="00482ECF"/>
    <w:rsid w:val="00494585"/>
    <w:rsid w:val="004A017D"/>
    <w:rsid w:val="004A3386"/>
    <w:rsid w:val="004B6B99"/>
    <w:rsid w:val="004C614F"/>
    <w:rsid w:val="004D51BB"/>
    <w:rsid w:val="004D793F"/>
    <w:rsid w:val="004F0F37"/>
    <w:rsid w:val="005010B8"/>
    <w:rsid w:val="00506176"/>
    <w:rsid w:val="0050760D"/>
    <w:rsid w:val="0051028A"/>
    <w:rsid w:val="00515400"/>
    <w:rsid w:val="00515F42"/>
    <w:rsid w:val="00524B25"/>
    <w:rsid w:val="0052682E"/>
    <w:rsid w:val="005420C4"/>
    <w:rsid w:val="0056595E"/>
    <w:rsid w:val="00576133"/>
    <w:rsid w:val="00583C4C"/>
    <w:rsid w:val="00597A68"/>
    <w:rsid w:val="005A185D"/>
    <w:rsid w:val="005B0590"/>
    <w:rsid w:val="005B1208"/>
    <w:rsid w:val="005B6558"/>
    <w:rsid w:val="005B731B"/>
    <w:rsid w:val="005D4660"/>
    <w:rsid w:val="005D6754"/>
    <w:rsid w:val="005D6D77"/>
    <w:rsid w:val="005D6EFB"/>
    <w:rsid w:val="005E37C1"/>
    <w:rsid w:val="005E3E96"/>
    <w:rsid w:val="005E5A86"/>
    <w:rsid w:val="005E6568"/>
    <w:rsid w:val="00605D22"/>
    <w:rsid w:val="00614990"/>
    <w:rsid w:val="00616885"/>
    <w:rsid w:val="00627599"/>
    <w:rsid w:val="00642B5D"/>
    <w:rsid w:val="00654BBC"/>
    <w:rsid w:val="00654CE9"/>
    <w:rsid w:val="00655D7C"/>
    <w:rsid w:val="006578E5"/>
    <w:rsid w:val="0066243E"/>
    <w:rsid w:val="00662CFD"/>
    <w:rsid w:val="006730A2"/>
    <w:rsid w:val="00674752"/>
    <w:rsid w:val="006769F1"/>
    <w:rsid w:val="00677765"/>
    <w:rsid w:val="006834E3"/>
    <w:rsid w:val="00685CD6"/>
    <w:rsid w:val="006877B1"/>
    <w:rsid w:val="006A006C"/>
    <w:rsid w:val="006A35B8"/>
    <w:rsid w:val="006A6A6A"/>
    <w:rsid w:val="006B0FF8"/>
    <w:rsid w:val="006C201E"/>
    <w:rsid w:val="006C51F1"/>
    <w:rsid w:val="006D6250"/>
    <w:rsid w:val="006E3E62"/>
    <w:rsid w:val="006E4443"/>
    <w:rsid w:val="006E453C"/>
    <w:rsid w:val="006E63F2"/>
    <w:rsid w:val="0070204F"/>
    <w:rsid w:val="0070360E"/>
    <w:rsid w:val="00713C89"/>
    <w:rsid w:val="00727DEC"/>
    <w:rsid w:val="00730885"/>
    <w:rsid w:val="00733DF3"/>
    <w:rsid w:val="00734549"/>
    <w:rsid w:val="00735E65"/>
    <w:rsid w:val="0074141E"/>
    <w:rsid w:val="0074472B"/>
    <w:rsid w:val="00745450"/>
    <w:rsid w:val="00745561"/>
    <w:rsid w:val="007560D6"/>
    <w:rsid w:val="007571D7"/>
    <w:rsid w:val="00757677"/>
    <w:rsid w:val="00764096"/>
    <w:rsid w:val="00770AFB"/>
    <w:rsid w:val="0079195A"/>
    <w:rsid w:val="00795B00"/>
    <w:rsid w:val="007B18B2"/>
    <w:rsid w:val="007B26DE"/>
    <w:rsid w:val="007B649A"/>
    <w:rsid w:val="007C341F"/>
    <w:rsid w:val="007C4F92"/>
    <w:rsid w:val="007C76A0"/>
    <w:rsid w:val="007D019C"/>
    <w:rsid w:val="007E0953"/>
    <w:rsid w:val="007E1C1C"/>
    <w:rsid w:val="007E250A"/>
    <w:rsid w:val="007F0FDE"/>
    <w:rsid w:val="008004DE"/>
    <w:rsid w:val="00812B84"/>
    <w:rsid w:val="00812C87"/>
    <w:rsid w:val="00813F71"/>
    <w:rsid w:val="00814759"/>
    <w:rsid w:val="00815AC7"/>
    <w:rsid w:val="0081769E"/>
    <w:rsid w:val="00820E6A"/>
    <w:rsid w:val="00822D48"/>
    <w:rsid w:val="008313F2"/>
    <w:rsid w:val="008418C5"/>
    <w:rsid w:val="0084243A"/>
    <w:rsid w:val="00857390"/>
    <w:rsid w:val="0086098E"/>
    <w:rsid w:val="00861E75"/>
    <w:rsid w:val="00867463"/>
    <w:rsid w:val="00870562"/>
    <w:rsid w:val="00870C5F"/>
    <w:rsid w:val="00880ED5"/>
    <w:rsid w:val="00890746"/>
    <w:rsid w:val="0089162D"/>
    <w:rsid w:val="0089608C"/>
    <w:rsid w:val="00896204"/>
    <w:rsid w:val="008A3FB0"/>
    <w:rsid w:val="008A3FB1"/>
    <w:rsid w:val="008B3B30"/>
    <w:rsid w:val="008C5094"/>
    <w:rsid w:val="008D2972"/>
    <w:rsid w:val="008D6095"/>
    <w:rsid w:val="008E7E7F"/>
    <w:rsid w:val="00900FA6"/>
    <w:rsid w:val="00905DFA"/>
    <w:rsid w:val="009149FE"/>
    <w:rsid w:val="009233BE"/>
    <w:rsid w:val="00927260"/>
    <w:rsid w:val="0093239C"/>
    <w:rsid w:val="0093424D"/>
    <w:rsid w:val="00935010"/>
    <w:rsid w:val="00945025"/>
    <w:rsid w:val="00946E98"/>
    <w:rsid w:val="009525EE"/>
    <w:rsid w:val="009607E7"/>
    <w:rsid w:val="00962738"/>
    <w:rsid w:val="00963FAE"/>
    <w:rsid w:val="0097712D"/>
    <w:rsid w:val="0098071A"/>
    <w:rsid w:val="00980AD0"/>
    <w:rsid w:val="00980D58"/>
    <w:rsid w:val="009A1739"/>
    <w:rsid w:val="009A5BDD"/>
    <w:rsid w:val="009A76D4"/>
    <w:rsid w:val="009B47CB"/>
    <w:rsid w:val="009C118E"/>
    <w:rsid w:val="009D63AF"/>
    <w:rsid w:val="009D791C"/>
    <w:rsid w:val="009E4C75"/>
    <w:rsid w:val="009E505B"/>
    <w:rsid w:val="009E5B3D"/>
    <w:rsid w:val="009F3E30"/>
    <w:rsid w:val="009F4565"/>
    <w:rsid w:val="00A002A5"/>
    <w:rsid w:val="00A00B5A"/>
    <w:rsid w:val="00A0215A"/>
    <w:rsid w:val="00A11B68"/>
    <w:rsid w:val="00A155DB"/>
    <w:rsid w:val="00A16B6D"/>
    <w:rsid w:val="00A22DED"/>
    <w:rsid w:val="00A24DF4"/>
    <w:rsid w:val="00A25735"/>
    <w:rsid w:val="00A32922"/>
    <w:rsid w:val="00A34AA5"/>
    <w:rsid w:val="00A355E7"/>
    <w:rsid w:val="00A36505"/>
    <w:rsid w:val="00A431DA"/>
    <w:rsid w:val="00A47F21"/>
    <w:rsid w:val="00A543A8"/>
    <w:rsid w:val="00A5566E"/>
    <w:rsid w:val="00A601FE"/>
    <w:rsid w:val="00A722EA"/>
    <w:rsid w:val="00A72D53"/>
    <w:rsid w:val="00A75CCE"/>
    <w:rsid w:val="00A80F9F"/>
    <w:rsid w:val="00A92B0F"/>
    <w:rsid w:val="00A94817"/>
    <w:rsid w:val="00A96B0F"/>
    <w:rsid w:val="00AA60D2"/>
    <w:rsid w:val="00AB3E73"/>
    <w:rsid w:val="00AC4FE6"/>
    <w:rsid w:val="00AD042A"/>
    <w:rsid w:val="00AD25FF"/>
    <w:rsid w:val="00AE1F31"/>
    <w:rsid w:val="00AE444D"/>
    <w:rsid w:val="00AE4F4E"/>
    <w:rsid w:val="00AE5FBE"/>
    <w:rsid w:val="00AF7741"/>
    <w:rsid w:val="00B00B9E"/>
    <w:rsid w:val="00B024B6"/>
    <w:rsid w:val="00B0591B"/>
    <w:rsid w:val="00B134C3"/>
    <w:rsid w:val="00B151E3"/>
    <w:rsid w:val="00B434E5"/>
    <w:rsid w:val="00B449E0"/>
    <w:rsid w:val="00B45BE6"/>
    <w:rsid w:val="00B521CB"/>
    <w:rsid w:val="00B61FDF"/>
    <w:rsid w:val="00B710B1"/>
    <w:rsid w:val="00B73C16"/>
    <w:rsid w:val="00B7743D"/>
    <w:rsid w:val="00B77B52"/>
    <w:rsid w:val="00B808A9"/>
    <w:rsid w:val="00B81036"/>
    <w:rsid w:val="00B81FDC"/>
    <w:rsid w:val="00B861CF"/>
    <w:rsid w:val="00B91DD3"/>
    <w:rsid w:val="00B96CD7"/>
    <w:rsid w:val="00B9769B"/>
    <w:rsid w:val="00BA14B4"/>
    <w:rsid w:val="00BA1EC8"/>
    <w:rsid w:val="00BA7275"/>
    <w:rsid w:val="00BB2AE9"/>
    <w:rsid w:val="00BB64CC"/>
    <w:rsid w:val="00BB7D80"/>
    <w:rsid w:val="00BC30D8"/>
    <w:rsid w:val="00BC35F6"/>
    <w:rsid w:val="00BD35E2"/>
    <w:rsid w:val="00BD3A34"/>
    <w:rsid w:val="00BD3CD4"/>
    <w:rsid w:val="00BD42EE"/>
    <w:rsid w:val="00BE19FE"/>
    <w:rsid w:val="00BF38A2"/>
    <w:rsid w:val="00BF5FE7"/>
    <w:rsid w:val="00BF7500"/>
    <w:rsid w:val="00C072CC"/>
    <w:rsid w:val="00C102FC"/>
    <w:rsid w:val="00C12499"/>
    <w:rsid w:val="00C1385C"/>
    <w:rsid w:val="00C16467"/>
    <w:rsid w:val="00C21B30"/>
    <w:rsid w:val="00C22703"/>
    <w:rsid w:val="00C23E11"/>
    <w:rsid w:val="00C25E80"/>
    <w:rsid w:val="00C311BB"/>
    <w:rsid w:val="00C37BE1"/>
    <w:rsid w:val="00C45055"/>
    <w:rsid w:val="00C46B12"/>
    <w:rsid w:val="00C573D9"/>
    <w:rsid w:val="00C61D40"/>
    <w:rsid w:val="00C7602C"/>
    <w:rsid w:val="00C80B69"/>
    <w:rsid w:val="00C80F1E"/>
    <w:rsid w:val="00C85447"/>
    <w:rsid w:val="00CA33B6"/>
    <w:rsid w:val="00CA68B4"/>
    <w:rsid w:val="00CB5393"/>
    <w:rsid w:val="00CB61C3"/>
    <w:rsid w:val="00CC4454"/>
    <w:rsid w:val="00CC4869"/>
    <w:rsid w:val="00CC56AF"/>
    <w:rsid w:val="00CD0572"/>
    <w:rsid w:val="00CD125A"/>
    <w:rsid w:val="00CD1444"/>
    <w:rsid w:val="00CE4771"/>
    <w:rsid w:val="00CF0090"/>
    <w:rsid w:val="00CF1A4D"/>
    <w:rsid w:val="00D05C7B"/>
    <w:rsid w:val="00D065F8"/>
    <w:rsid w:val="00D1080D"/>
    <w:rsid w:val="00D11E90"/>
    <w:rsid w:val="00D1420C"/>
    <w:rsid w:val="00D14E98"/>
    <w:rsid w:val="00D30470"/>
    <w:rsid w:val="00D309E5"/>
    <w:rsid w:val="00D313D3"/>
    <w:rsid w:val="00D40918"/>
    <w:rsid w:val="00D51774"/>
    <w:rsid w:val="00D54988"/>
    <w:rsid w:val="00D63622"/>
    <w:rsid w:val="00D64801"/>
    <w:rsid w:val="00D83426"/>
    <w:rsid w:val="00D859D8"/>
    <w:rsid w:val="00D86720"/>
    <w:rsid w:val="00D95914"/>
    <w:rsid w:val="00D97390"/>
    <w:rsid w:val="00DA168D"/>
    <w:rsid w:val="00DC30E4"/>
    <w:rsid w:val="00DD73B1"/>
    <w:rsid w:val="00DF0FC7"/>
    <w:rsid w:val="00DF4AB9"/>
    <w:rsid w:val="00DF6687"/>
    <w:rsid w:val="00E01459"/>
    <w:rsid w:val="00E2261E"/>
    <w:rsid w:val="00E24205"/>
    <w:rsid w:val="00E31BED"/>
    <w:rsid w:val="00E43EDD"/>
    <w:rsid w:val="00E558C6"/>
    <w:rsid w:val="00E57B96"/>
    <w:rsid w:val="00E6351B"/>
    <w:rsid w:val="00E76C4D"/>
    <w:rsid w:val="00E819BE"/>
    <w:rsid w:val="00E8488F"/>
    <w:rsid w:val="00E85347"/>
    <w:rsid w:val="00EB166D"/>
    <w:rsid w:val="00EB7573"/>
    <w:rsid w:val="00EC0F64"/>
    <w:rsid w:val="00EC310B"/>
    <w:rsid w:val="00ED64B6"/>
    <w:rsid w:val="00EE05F4"/>
    <w:rsid w:val="00EF6F9F"/>
    <w:rsid w:val="00F0040E"/>
    <w:rsid w:val="00F02B77"/>
    <w:rsid w:val="00F1004A"/>
    <w:rsid w:val="00F13F6D"/>
    <w:rsid w:val="00F2129A"/>
    <w:rsid w:val="00F31977"/>
    <w:rsid w:val="00F32CFB"/>
    <w:rsid w:val="00F3491D"/>
    <w:rsid w:val="00F41A79"/>
    <w:rsid w:val="00F45566"/>
    <w:rsid w:val="00F56C8D"/>
    <w:rsid w:val="00F60EAA"/>
    <w:rsid w:val="00F835ED"/>
    <w:rsid w:val="00F8726C"/>
    <w:rsid w:val="00F9601F"/>
    <w:rsid w:val="00FA2D76"/>
    <w:rsid w:val="00FA332D"/>
    <w:rsid w:val="00FA4086"/>
    <w:rsid w:val="00FB0D9F"/>
    <w:rsid w:val="00FB2CFA"/>
    <w:rsid w:val="00FB5199"/>
    <w:rsid w:val="00FC1F85"/>
    <w:rsid w:val="00FD3E06"/>
    <w:rsid w:val="00FD729B"/>
    <w:rsid w:val="00FE0B22"/>
    <w:rsid w:val="00FE0C5E"/>
    <w:rsid w:val="00FF5285"/>
    <w:rsid w:val="00FF583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85AAF64"/>
  <w15:chartTrackingRefBased/>
  <w15:docId w15:val="{0F848B72-08EB-CB4F-AC37-10BF559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7D"/>
  </w:style>
  <w:style w:type="paragraph" w:styleId="Heading1">
    <w:name w:val="heading 1"/>
    <w:basedOn w:val="Normal"/>
    <w:next w:val="Normal"/>
    <w:link w:val="Heading1Char"/>
    <w:uiPriority w:val="9"/>
    <w:qFormat/>
    <w:rsid w:val="00220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87D"/>
    <w:rPr>
      <w:rFonts w:eastAsiaTheme="majorEastAsia" w:cstheme="majorBidi"/>
      <w:color w:val="272727" w:themeColor="text1" w:themeTint="D8"/>
    </w:rPr>
  </w:style>
  <w:style w:type="paragraph" w:styleId="Title">
    <w:name w:val="Title"/>
    <w:basedOn w:val="Normal"/>
    <w:next w:val="Normal"/>
    <w:link w:val="TitleChar"/>
    <w:uiPriority w:val="10"/>
    <w:qFormat/>
    <w:rsid w:val="0022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87D"/>
    <w:pPr>
      <w:spacing w:before="160"/>
      <w:jc w:val="center"/>
    </w:pPr>
    <w:rPr>
      <w:i/>
      <w:iCs/>
      <w:color w:val="404040" w:themeColor="text1" w:themeTint="BF"/>
    </w:rPr>
  </w:style>
  <w:style w:type="character" w:customStyle="1" w:styleId="QuoteChar">
    <w:name w:val="Quote Char"/>
    <w:basedOn w:val="DefaultParagraphFont"/>
    <w:link w:val="Quote"/>
    <w:uiPriority w:val="29"/>
    <w:rsid w:val="0022087D"/>
    <w:rPr>
      <w:i/>
      <w:iCs/>
      <w:color w:val="404040" w:themeColor="text1" w:themeTint="BF"/>
    </w:rPr>
  </w:style>
  <w:style w:type="paragraph" w:styleId="ListParagraph">
    <w:name w:val="List Paragraph"/>
    <w:basedOn w:val="Normal"/>
    <w:uiPriority w:val="34"/>
    <w:qFormat/>
    <w:rsid w:val="0022087D"/>
    <w:pPr>
      <w:ind w:left="720"/>
      <w:contextualSpacing/>
    </w:pPr>
  </w:style>
  <w:style w:type="character" w:styleId="IntenseEmphasis">
    <w:name w:val="Intense Emphasis"/>
    <w:basedOn w:val="DefaultParagraphFont"/>
    <w:uiPriority w:val="21"/>
    <w:qFormat/>
    <w:rsid w:val="0022087D"/>
    <w:rPr>
      <w:i/>
      <w:iCs/>
      <w:color w:val="0F4761" w:themeColor="accent1" w:themeShade="BF"/>
    </w:rPr>
  </w:style>
  <w:style w:type="paragraph" w:styleId="IntenseQuote">
    <w:name w:val="Intense Quote"/>
    <w:basedOn w:val="Normal"/>
    <w:next w:val="Normal"/>
    <w:link w:val="IntenseQuoteChar"/>
    <w:uiPriority w:val="30"/>
    <w:qFormat/>
    <w:rsid w:val="00220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87D"/>
    <w:rPr>
      <w:i/>
      <w:iCs/>
      <w:color w:val="0F4761" w:themeColor="accent1" w:themeShade="BF"/>
    </w:rPr>
  </w:style>
  <w:style w:type="character" w:styleId="IntenseReference">
    <w:name w:val="Intense Reference"/>
    <w:basedOn w:val="DefaultParagraphFont"/>
    <w:uiPriority w:val="32"/>
    <w:qFormat/>
    <w:rsid w:val="0022087D"/>
    <w:rPr>
      <w:b/>
      <w:bCs/>
      <w:smallCaps/>
      <w:color w:val="0F4761" w:themeColor="accent1" w:themeShade="BF"/>
      <w:spacing w:val="5"/>
    </w:rPr>
  </w:style>
  <w:style w:type="character" w:styleId="CommentReference">
    <w:name w:val="annotation reference"/>
    <w:basedOn w:val="DefaultParagraphFont"/>
    <w:uiPriority w:val="99"/>
    <w:semiHidden/>
    <w:unhideWhenUsed/>
    <w:rsid w:val="0022087D"/>
    <w:rPr>
      <w:sz w:val="16"/>
      <w:szCs w:val="16"/>
    </w:rPr>
  </w:style>
  <w:style w:type="paragraph" w:styleId="CommentText">
    <w:name w:val="annotation text"/>
    <w:basedOn w:val="Normal"/>
    <w:link w:val="CommentTextChar"/>
    <w:uiPriority w:val="99"/>
    <w:unhideWhenUsed/>
    <w:rsid w:val="0022087D"/>
    <w:pPr>
      <w:spacing w:line="240" w:lineRule="auto"/>
    </w:pPr>
    <w:rPr>
      <w:sz w:val="20"/>
      <w:szCs w:val="20"/>
    </w:rPr>
  </w:style>
  <w:style w:type="character" w:customStyle="1" w:styleId="CommentTextChar">
    <w:name w:val="Comment Text Char"/>
    <w:basedOn w:val="DefaultParagraphFont"/>
    <w:link w:val="CommentText"/>
    <w:uiPriority w:val="99"/>
    <w:rsid w:val="002208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 Yun Lu</dc:creator>
  <cp:keywords/>
  <dc:description/>
  <cp:lastModifiedBy>Tsai Yun Lu</cp:lastModifiedBy>
  <cp:revision>1</cp:revision>
  <dcterms:created xsi:type="dcterms:W3CDTF">2025-03-17T11:38:00Z</dcterms:created>
  <dcterms:modified xsi:type="dcterms:W3CDTF">2025-03-17T11:38:00Z</dcterms:modified>
</cp:coreProperties>
</file>