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9D02E" w14:textId="35DCC562" w:rsidR="00257C15" w:rsidRPr="00916F03" w:rsidRDefault="00325048" w:rsidP="00D209B2">
      <w:pPr>
        <w:rPr>
          <w:rFonts w:ascii="Arial Nova" w:hAnsi="Arial Nova" w:cs="Times New Roman"/>
          <w:b/>
          <w:sz w:val="26"/>
          <w:szCs w:val="26"/>
        </w:rPr>
      </w:pPr>
      <w:r w:rsidRPr="003C3567">
        <w:rPr>
          <w:rFonts w:ascii="Arial Nova" w:hAnsi="Arial Nova" w:cs="Arial"/>
          <w:noProof/>
          <w:sz w:val="20"/>
          <w:szCs w:val="20"/>
        </w:rPr>
        <mc:AlternateContent>
          <mc:Choice Requires="wps">
            <w:drawing>
              <wp:anchor distT="0" distB="0" distL="114300" distR="114300" simplePos="0" relativeHeight="251658241" behindDoc="0" locked="0" layoutInCell="1" allowOverlap="1" wp14:anchorId="45C65B34" wp14:editId="2121B724">
                <wp:simplePos x="0" y="0"/>
                <wp:positionH relativeFrom="column">
                  <wp:posOffset>-22225</wp:posOffset>
                </wp:positionH>
                <wp:positionV relativeFrom="paragraph">
                  <wp:posOffset>-8890</wp:posOffset>
                </wp:positionV>
                <wp:extent cx="64998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86A68C"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7pt" to="510.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" strokecolor="black [3213]" strokeweight="1pt">
                <v:stroke joinstyle="miter"/>
              </v:line>
            </w:pict>
          </mc:Fallback>
        </mc:AlternateContent>
      </w:r>
      <w:r w:rsidR="002245F7">
        <w:rPr>
          <w:rFonts w:ascii="Arial Nova" w:hAnsi="Arial Nova" w:cs="Times New Roman"/>
          <w:b/>
          <w:sz w:val="26"/>
          <w:szCs w:val="26"/>
        </w:rPr>
        <w:t>R</w:t>
      </w:r>
      <w:r w:rsidR="00D928D7">
        <w:rPr>
          <w:rFonts w:ascii="Arial Nova" w:hAnsi="Arial Nova" w:cs="Times New Roman"/>
          <w:b/>
          <w:sz w:val="26"/>
          <w:szCs w:val="26"/>
        </w:rPr>
        <w:t>APID REPORTS AND PERSPEECTIVES FROM THE FIELD</w:t>
      </w:r>
    </w:p>
    <w:p w14:paraId="2CD26A32" w14:textId="6FA57A5A" w:rsidR="002F14B0" w:rsidRPr="002F14B0" w:rsidRDefault="00D928D7" w:rsidP="00D209B2">
      <w:pPr>
        <w:rPr>
          <w:rFonts w:ascii="Arial Nova" w:hAnsi="Arial Nova" w:cs="Arial"/>
          <w:b/>
          <w:bCs/>
          <w:sz w:val="32"/>
          <w:szCs w:val="32"/>
        </w:rPr>
      </w:pPr>
      <w:r>
        <w:rPr>
          <w:rFonts w:ascii="Arial Nova" w:hAnsi="Arial Nova" w:cs="Arial"/>
          <w:b/>
          <w:bCs/>
          <w:sz w:val="32"/>
          <w:szCs w:val="32"/>
        </w:rPr>
        <w:t>Using the Bradford-Hill criteria to assess causality in the association between CHADOX1</w:t>
      </w:r>
      <w:r w:rsidR="007B47DC">
        <w:rPr>
          <w:rFonts w:ascii="Arial Nova" w:hAnsi="Arial Nova" w:cs="Arial"/>
          <w:b/>
          <w:bCs/>
          <w:sz w:val="32"/>
          <w:szCs w:val="32"/>
        </w:rPr>
        <w:t xml:space="preserve"> </w:t>
      </w:r>
      <w:r>
        <w:rPr>
          <w:rFonts w:ascii="Arial Nova" w:hAnsi="Arial Nova" w:cs="Arial"/>
          <w:b/>
          <w:bCs/>
          <w:sz w:val="32"/>
          <w:szCs w:val="32"/>
        </w:rPr>
        <w:t xml:space="preserve">NCOV-19 vaccine and prothrombotic immune thrombocytopenia </w:t>
      </w:r>
    </w:p>
    <w:p w14:paraId="04DB8F30" w14:textId="4122291E" w:rsidR="005C2555" w:rsidRPr="003C3567" w:rsidRDefault="00D928D7" w:rsidP="00D209B2">
      <w:pPr>
        <w:rPr>
          <w:rFonts w:ascii="Arial Nova" w:hAnsi="Arial Nova" w:cs="Arial"/>
          <w:sz w:val="20"/>
          <w:szCs w:val="20"/>
        </w:rPr>
      </w:pPr>
      <w:r>
        <w:rPr>
          <w:rFonts w:ascii="Arial Nova Cond" w:hAnsi="Arial Nova Cond" w:cs="Arial"/>
        </w:rPr>
        <w:t>C Raina MacIntyre</w:t>
      </w:r>
      <w:r w:rsidR="009D16A1" w:rsidRPr="00AC38B1">
        <w:rPr>
          <w:rFonts w:ascii="Arial Nova Cond" w:hAnsi="Arial Nova Cond" w:cs="Arial"/>
          <w:vertAlign w:val="superscript"/>
        </w:rPr>
        <w:t>1</w:t>
      </w:r>
    </w:p>
    <w:p w14:paraId="5E90CD2A" w14:textId="01F5D3A6" w:rsidR="00DA7D13" w:rsidRPr="00896ED1" w:rsidRDefault="001B2F70" w:rsidP="00740EFF">
      <w:pPr>
        <w:spacing w:line="240" w:lineRule="auto"/>
        <w:rPr>
          <w:rFonts w:ascii="Arial Nova Cond Light" w:eastAsia="Times New Roman Uni" w:hAnsi="Arial Nova Cond Light" w:cs="Times New Roman Uni"/>
          <w:sz w:val="20"/>
          <w:szCs w:val="20"/>
        </w:rPr>
      </w:pPr>
      <w:r w:rsidRPr="001B2F70">
        <w:rPr>
          <w:rFonts w:ascii="Arial Nova Cond Light" w:eastAsia="Times New Roman Uni" w:hAnsi="Arial Nova Cond Light" w:cs="Times New Roman Uni"/>
          <w:sz w:val="20"/>
          <w:szCs w:val="20"/>
          <w:vertAlign w:val="superscript"/>
        </w:rPr>
        <w:t>1</w:t>
      </w:r>
      <w:r w:rsidR="00740EFF" w:rsidRPr="00740EFF">
        <w:rPr>
          <w:rFonts w:ascii="Arial Nova Cond Light" w:eastAsia="Times New Roman Uni" w:hAnsi="Arial Nova Cond Light" w:cs="Times New Roman Uni"/>
          <w:sz w:val="20"/>
          <w:szCs w:val="20"/>
          <w:vertAlign w:val="superscript"/>
        </w:rPr>
        <w:t xml:space="preserve"> </w:t>
      </w:r>
      <w:r w:rsidR="00D209B2" w:rsidRPr="003C3567">
        <w:rPr>
          <w:rFonts w:ascii="Arial Nova" w:hAnsi="Arial Nova" w:cs="Arial"/>
          <w:noProof/>
          <w:sz w:val="20"/>
          <w:szCs w:val="20"/>
        </w:rPr>
        <mc:AlternateContent>
          <mc:Choice Requires="wps">
            <w:drawing>
              <wp:anchor distT="0" distB="0" distL="114300" distR="114300" simplePos="0" relativeHeight="251658244" behindDoc="0" locked="0" layoutInCell="1" allowOverlap="1" wp14:anchorId="362514D6" wp14:editId="076795B8">
                <wp:simplePos x="0" y="0"/>
                <wp:positionH relativeFrom="column">
                  <wp:posOffset>-22225</wp:posOffset>
                </wp:positionH>
                <wp:positionV relativeFrom="paragraph">
                  <wp:posOffset>279400</wp:posOffset>
                </wp:positionV>
                <wp:extent cx="649986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252726"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22pt" to="510.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" strokecolor="black [3213]" strokeweight="1pt">
                <v:stroke joinstyle="miter"/>
              </v:line>
            </w:pict>
          </mc:Fallback>
        </mc:AlternateContent>
      </w:r>
      <w:r w:rsidR="00D928D7">
        <w:rPr>
          <w:rFonts w:ascii="Arial Nova Cond Light" w:eastAsia="Times New Roman Uni" w:hAnsi="Arial Nova Cond Light" w:cs="Times New Roman Uni"/>
          <w:sz w:val="20"/>
          <w:szCs w:val="20"/>
        </w:rPr>
        <w:t>Biosecurity Program, The Kirby Institute for Infection and Immunity, UNSW Sydney</w:t>
      </w:r>
      <w:r w:rsidR="002245F7">
        <w:rPr>
          <w:rFonts w:ascii="Arial Nova Cond Light" w:eastAsia="Times New Roman Uni" w:hAnsi="Arial Nova Cond Light" w:cs="Times New Roman Uni"/>
          <w:sz w:val="20"/>
          <w:szCs w:val="20"/>
        </w:rPr>
        <w:t xml:space="preserve"> </w:t>
      </w:r>
    </w:p>
    <w:p w14:paraId="5ED98F7E" w14:textId="3D780469" w:rsidR="00D928D7" w:rsidRPr="00D928D7" w:rsidRDefault="00916F03" w:rsidP="00D928D7">
      <w:pPr>
        <w:spacing w:beforeLines="120" w:before="288" w:after="0" w:line="240" w:lineRule="auto"/>
        <w:jc w:val="both"/>
        <w:rPr>
          <w:rFonts w:ascii="Georgia" w:eastAsia="Times New Roman Uni" w:hAnsi="Georgia" w:cs="Times New Roman Uni"/>
          <w:sz w:val="20"/>
          <w:szCs w:val="20"/>
        </w:rPr>
      </w:pPr>
      <w:r w:rsidRPr="00D928D7">
        <w:rPr>
          <w:rFonts w:ascii="Georgia" w:eastAsia="Times New Roman Uni" w:hAnsi="Georgia" w:cs="Times New Roman"/>
          <w:b/>
          <w:sz w:val="20"/>
          <w:szCs w:val="20"/>
        </w:rPr>
        <w:t>Abstract</w:t>
      </w:r>
    </w:p>
    <w:p w14:paraId="32799E59" w14:textId="73F0C801" w:rsidR="00D928D7" w:rsidRPr="00D928D7" w:rsidRDefault="00D928D7" w:rsidP="00D928D7">
      <w:pPr>
        <w:spacing w:beforeLines="120" w:before="288" w:after="0" w:line="240" w:lineRule="auto"/>
        <w:jc w:val="both"/>
        <w:rPr>
          <w:rFonts w:ascii="Georgia" w:eastAsia="Times New Roman" w:hAnsi="Georgia" w:cs="Times New Roman"/>
          <w:sz w:val="20"/>
          <w:szCs w:val="20"/>
          <w:lang w:eastAsia="en-GB"/>
        </w:rPr>
      </w:pPr>
      <w:r w:rsidRPr="00EF4180">
        <w:rPr>
          <w:rFonts w:ascii="Georgia" w:eastAsia="Times New Roman" w:hAnsi="Georgia" w:cs="Times New Roman"/>
          <w:sz w:val="20"/>
          <w:szCs w:val="20"/>
          <w:lang w:eastAsia="en-GB"/>
        </w:rPr>
        <w:t xml:space="preserve">The Bradford-Hill criteria are accepted criteria for assessing causality of an association. Here, the criteria were applied to the association between the CHADOX1 NCOV-19 vaccine and vaccine induced thrombotic immune thrombocytopenia (VITT). All criteria for causation are met, with consistency, specificity, temporality and biological plausibility being very clearly met. Strength of association is met, but more data </w:t>
      </w:r>
      <w:r w:rsidR="007B47DC">
        <w:rPr>
          <w:rFonts w:ascii="Georgia" w:eastAsia="Times New Roman" w:hAnsi="Georgia" w:cs="Times New Roman"/>
          <w:sz w:val="20"/>
          <w:szCs w:val="20"/>
          <w:lang w:eastAsia="en-GB"/>
        </w:rPr>
        <w:t xml:space="preserve">are </w:t>
      </w:r>
      <w:r w:rsidRPr="00EF4180">
        <w:rPr>
          <w:rFonts w:ascii="Georgia" w:eastAsia="Times New Roman" w:hAnsi="Georgia" w:cs="Times New Roman"/>
          <w:sz w:val="20"/>
          <w:szCs w:val="20"/>
          <w:lang w:eastAsia="en-GB"/>
        </w:rPr>
        <w:t>required to establish the precise estimate of the association, as case ascertainment may be variable between countries, resulting in varied estimates of incidence rates from 25 to 0.5 per 100,000. (2, 4) The application of the modified Bradford-Hill criteria to VITT following CHADOX1 NCOV- vaccine strongly supports a causal relationship.</w:t>
      </w:r>
    </w:p>
    <w:p w14:paraId="466E1059" w14:textId="2826F47C" w:rsidR="00D928D7" w:rsidRPr="00D928D7" w:rsidRDefault="00D928D7" w:rsidP="00D928D7">
      <w:pPr>
        <w:spacing w:beforeLines="120" w:before="288" w:after="0" w:line="240" w:lineRule="auto"/>
        <w:jc w:val="both"/>
        <w:rPr>
          <w:rFonts w:ascii="Georgia" w:hAnsi="Georgia"/>
          <w:sz w:val="20"/>
          <w:szCs w:val="20"/>
        </w:rPr>
      </w:pPr>
      <w:r w:rsidRPr="00D928D7">
        <w:rPr>
          <w:rFonts w:ascii="Georgia" w:eastAsia="Times New Roman" w:hAnsi="Georgia" w:cs="Times New Roman"/>
          <w:b/>
          <w:bCs/>
          <w:sz w:val="20"/>
          <w:szCs w:val="20"/>
          <w:lang w:eastAsia="en-GB"/>
        </w:rPr>
        <w:t xml:space="preserve">Key words: </w:t>
      </w:r>
      <w:r w:rsidRPr="00D928D7">
        <w:rPr>
          <w:rFonts w:ascii="Georgia" w:eastAsia="Times New Roman" w:hAnsi="Georgia" w:cs="Times New Roman"/>
          <w:sz w:val="20"/>
          <w:szCs w:val="20"/>
          <w:lang w:eastAsia="en-GB"/>
        </w:rPr>
        <w:t>Thrombosis, VITT, HITT, heparin, COVID-19, vaccine, Astrazeneca, CHADOX1 NCOV vaccine, thrombocytopenia</w:t>
      </w:r>
    </w:p>
    <w:p w14:paraId="1D4D74F5" w14:textId="0792EA71" w:rsidR="00D928D7" w:rsidRPr="003C3567" w:rsidRDefault="00D928D7" w:rsidP="00740EFF">
      <w:pPr>
        <w:tabs>
          <w:tab w:val="left" w:pos="8328"/>
        </w:tabs>
        <w:spacing w:before="240" w:line="240" w:lineRule="auto"/>
        <w:rPr>
          <w:rFonts w:ascii="Georgia" w:eastAsia="Times New Roman Uni" w:hAnsi="Georgia" w:cs="Times New Roman"/>
          <w:sz w:val="20"/>
          <w:szCs w:val="26"/>
        </w:rPr>
        <w:sectPr w:rsidR="00D928D7" w:rsidRPr="003C3567" w:rsidSect="00DE2DB1">
          <w:headerReference w:type="default" r:id="rId7"/>
          <w:footerReference w:type="default" r:id="rId8"/>
          <w:pgSz w:w="11906" w:h="16838"/>
          <w:pgMar w:top="1418" w:right="849" w:bottom="1560" w:left="851" w:header="850" w:footer="708" w:gutter="0"/>
          <w:cols w:space="708"/>
          <w:docGrid w:linePitch="360"/>
        </w:sectPr>
      </w:pPr>
    </w:p>
    <w:p w14:paraId="113C9416" w14:textId="7893C28F" w:rsidR="003C3567" w:rsidRPr="00740EFF" w:rsidRDefault="00DA7D13" w:rsidP="00740EFF">
      <w:pPr>
        <w:spacing w:before="240" w:line="240" w:lineRule="auto"/>
        <w:rPr>
          <w:rFonts w:ascii="Georgia" w:eastAsia="Times New Roman Uni" w:hAnsi="Georgia" w:cs="Times New Roman"/>
          <w:sz w:val="20"/>
          <w:szCs w:val="26"/>
        </w:rPr>
        <w:sectPr w:rsidR="003C3567" w:rsidRPr="00740EFF" w:rsidSect="00DE2DB1">
          <w:type w:val="continuous"/>
          <w:pgSz w:w="11906" w:h="16838"/>
          <w:pgMar w:top="1418" w:right="849" w:bottom="1560" w:left="851" w:header="426" w:footer="708" w:gutter="0"/>
          <w:cols w:space="708"/>
          <w:docGrid w:linePitch="360"/>
        </w:sectPr>
      </w:pPr>
      <w:r w:rsidRPr="003C3567">
        <w:rPr>
          <w:rFonts w:ascii="Arial Nova" w:hAnsi="Arial Nova" w:cs="Arial"/>
          <w:b/>
          <w:noProof/>
          <w:sz w:val="32"/>
          <w:szCs w:val="28"/>
        </w:rPr>
        <mc:AlternateContent>
          <mc:Choice Requires="wps">
            <w:drawing>
              <wp:anchor distT="0" distB="0" distL="114300" distR="114300" simplePos="0" relativeHeight="251658243" behindDoc="0" locked="0" layoutInCell="1" allowOverlap="1" wp14:anchorId="78FD35E6" wp14:editId="25B2C44F">
                <wp:simplePos x="0" y="0"/>
                <wp:positionH relativeFrom="column">
                  <wp:posOffset>-22225</wp:posOffset>
                </wp:positionH>
                <wp:positionV relativeFrom="paragraph">
                  <wp:posOffset>165735</wp:posOffset>
                </wp:positionV>
                <wp:extent cx="64998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DEAE3"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3.05pt" to="510.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" strokecolor="black [3213]" strokeweight="1pt">
                <v:stroke joinstyle="miter"/>
              </v:line>
            </w:pict>
          </mc:Fallback>
        </mc:AlternateContent>
      </w:r>
    </w:p>
    <w:p w14:paraId="30B7FBFA" w14:textId="77777777" w:rsidR="00D928D7" w:rsidRDefault="00D928D7" w:rsidP="00D928D7">
      <w:pPr>
        <w:spacing w:after="0" w:line="240" w:lineRule="auto"/>
        <w:jc w:val="both"/>
        <w:rPr>
          <w:rFonts w:ascii="Georgia" w:hAnsi="Georgia" w:cs="Calibri"/>
          <w:sz w:val="20"/>
          <w:szCs w:val="20"/>
        </w:rPr>
        <w:sectPr w:rsidR="00D928D7" w:rsidSect="00DE2DB1">
          <w:type w:val="continuous"/>
          <w:pgSz w:w="11906" w:h="16838"/>
          <w:pgMar w:top="1418" w:right="849" w:bottom="1560" w:left="851" w:header="426" w:footer="708" w:gutter="0"/>
          <w:cols w:num="2" w:space="284"/>
          <w:docGrid w:linePitch="360"/>
        </w:sectPr>
      </w:pPr>
      <w:r>
        <w:rPr>
          <w:rFonts w:ascii="Georgia" w:hAnsi="Georgia" w:cs="Calibri"/>
          <w:sz w:val="20"/>
          <w:szCs w:val="20"/>
        </w:rPr>
        <w:t xml:space="preserve">    </w:t>
      </w:r>
    </w:p>
    <w:p w14:paraId="7AA5417F" w14:textId="35A25C34" w:rsidR="00D928D7" w:rsidRDefault="00D928D7" w:rsidP="00D928D7">
      <w:pPr>
        <w:spacing w:after="0" w:line="240" w:lineRule="auto"/>
        <w:jc w:val="both"/>
        <w:rPr>
          <w:rFonts w:ascii="Georgia" w:hAnsi="Georgia" w:cs="Calibri"/>
          <w:sz w:val="20"/>
          <w:szCs w:val="20"/>
        </w:rPr>
      </w:pPr>
      <w:r w:rsidRPr="00D928D7">
        <w:rPr>
          <w:rFonts w:ascii="Georgia" w:hAnsi="Georgia" w:cs="Calibri"/>
          <w:sz w:val="20"/>
          <w:szCs w:val="20"/>
        </w:rPr>
        <w:t>An association between the CHADOX1 NCOV-19 vaccine and prothrombotic immune thrombocytopenia has been reported from several countries, at reported rates ranging from 1/25,000 to 1/600,000 (1, 2). The European Medicine Agency (EMA) concluded that there is a signal for disseminated intravascular coagulation, cerebral venous sinus thrombosis (CVST) and haemorrhagic stroke following CHADOX1 NCOV-19 vaccine</w:t>
      </w:r>
      <w:r w:rsidRPr="00D928D7">
        <w:rPr>
          <w:rFonts w:ascii="Georgia" w:hAnsi="Georgia"/>
          <w:sz w:val="20"/>
          <w:szCs w:val="20"/>
        </w:rPr>
        <w:t xml:space="preserve"> </w:t>
      </w:r>
      <w:r w:rsidRPr="00D928D7">
        <w:rPr>
          <w:rFonts w:ascii="Georgia" w:hAnsi="Georgia" w:cs="Calibri"/>
          <w:sz w:val="20"/>
          <w:szCs w:val="20"/>
        </w:rPr>
        <w:t>(3). The EMA concluded on 7 April 2021 that the association was likely, with a rate of about 1/200,000 doses</w:t>
      </w:r>
      <w:r w:rsidRPr="00D928D7">
        <w:rPr>
          <w:rFonts w:ascii="Georgia" w:hAnsi="Georgia"/>
          <w:sz w:val="20"/>
          <w:szCs w:val="20"/>
        </w:rPr>
        <w:t xml:space="preserve"> </w:t>
      </w:r>
      <w:r w:rsidRPr="00D928D7">
        <w:rPr>
          <w:rFonts w:ascii="Georgia" w:hAnsi="Georgia" w:cs="Calibri"/>
          <w:sz w:val="20"/>
          <w:szCs w:val="20"/>
        </w:rPr>
        <w:t xml:space="preserve">(4). </w:t>
      </w:r>
    </w:p>
    <w:p w14:paraId="3A0B7FF9" w14:textId="35B05BED" w:rsidR="00D928D7" w:rsidRPr="00D928D7" w:rsidRDefault="00D928D7" w:rsidP="00D928D7">
      <w:pPr>
        <w:spacing w:after="0" w:line="240" w:lineRule="auto"/>
        <w:jc w:val="both"/>
        <w:rPr>
          <w:rFonts w:ascii="Georgia" w:hAnsi="Georgia" w:cs="Calibri"/>
          <w:sz w:val="20"/>
          <w:szCs w:val="20"/>
        </w:rPr>
      </w:pPr>
      <w:r>
        <w:rPr>
          <w:rFonts w:ascii="Georgia" w:hAnsi="Georgia" w:cs="Calibri"/>
          <w:sz w:val="20"/>
          <w:szCs w:val="20"/>
        </w:rPr>
        <w:t xml:space="preserve">    </w:t>
      </w:r>
      <w:r w:rsidRPr="00D928D7">
        <w:rPr>
          <w:rFonts w:ascii="Georgia" w:hAnsi="Georgia" w:cs="Calibri"/>
          <w:sz w:val="20"/>
          <w:szCs w:val="20"/>
        </w:rPr>
        <w:t>The thrombocytopenia and thrombosis syndrome is distinct from common clotting disorders such as deep venous thrombosis or pulmonary embolism, and includes the combination of thrombocytopenia and thrombosis in unusual sites, such as CVST, splanchnic vein thrombosis and arterial thrombosis</w:t>
      </w:r>
      <w:r w:rsidRPr="00D928D7">
        <w:rPr>
          <w:rFonts w:ascii="Georgia" w:hAnsi="Georgia"/>
          <w:sz w:val="20"/>
          <w:szCs w:val="20"/>
        </w:rPr>
        <w:t xml:space="preserve"> </w:t>
      </w:r>
      <w:r w:rsidRPr="00D928D7">
        <w:rPr>
          <w:rFonts w:ascii="Georgia" w:hAnsi="Georgia" w:cs="Calibri"/>
          <w:sz w:val="20"/>
          <w:szCs w:val="20"/>
        </w:rPr>
        <w:t>(5, 6). It appears to be an immune-mediated phenomenon, starting at 4-14 days but up to as long as 20 days after vaccination, and is more common in females and adults under the age of 60 years. The syndrome is similar to heparin-induced thrombocytopenia (HIT) or heparin-</w:t>
      </w:r>
      <w:r w:rsidRPr="00D928D7">
        <w:rPr>
          <w:rFonts w:ascii="Georgia" w:hAnsi="Georgia" w:cs="Calibri"/>
          <w:sz w:val="20"/>
          <w:szCs w:val="20"/>
        </w:rPr>
        <w:t>induced thrombocytopenia with thrombosis (HITT), but occurs without the use of heparin</w:t>
      </w:r>
      <w:r w:rsidRPr="00D928D7">
        <w:rPr>
          <w:rFonts w:ascii="Georgia" w:hAnsi="Georgia"/>
          <w:sz w:val="20"/>
          <w:szCs w:val="20"/>
        </w:rPr>
        <w:t xml:space="preserve"> </w:t>
      </w:r>
      <w:r w:rsidRPr="00D928D7">
        <w:rPr>
          <w:rFonts w:ascii="Georgia" w:hAnsi="Georgia" w:cs="Calibri"/>
          <w:sz w:val="20"/>
          <w:szCs w:val="20"/>
        </w:rPr>
        <w:t>(3). It is important to ascertain causation for the association, not just for vaccine safety, but for patient safety in the event of thrombosis. Heparin, which would normally be given to patients presenting with thrombosis, is contraindicated.</w:t>
      </w:r>
      <w:r w:rsidRPr="00D928D7">
        <w:rPr>
          <w:rFonts w:ascii="Georgia" w:hAnsi="Georgia"/>
          <w:sz w:val="20"/>
          <w:szCs w:val="20"/>
        </w:rPr>
        <w:t xml:space="preserve"> </w:t>
      </w:r>
      <w:r w:rsidRPr="00D928D7">
        <w:rPr>
          <w:rFonts w:ascii="Georgia" w:hAnsi="Georgia" w:cs="Calibri"/>
          <w:sz w:val="20"/>
          <w:szCs w:val="20"/>
        </w:rPr>
        <w:t>The syndrome is more serious and more likely to be fatal than common thrombosis, and has been termed vaccine-induced thrombotic thrombocytopaenia (VITT)</w:t>
      </w:r>
      <w:r w:rsidRPr="00D928D7">
        <w:rPr>
          <w:rFonts w:ascii="Georgia" w:hAnsi="Georgia"/>
          <w:sz w:val="20"/>
          <w:szCs w:val="20"/>
        </w:rPr>
        <w:t xml:space="preserve"> </w:t>
      </w:r>
      <w:r w:rsidRPr="00D928D7">
        <w:rPr>
          <w:rFonts w:ascii="Georgia" w:hAnsi="Georgia" w:cs="Calibri"/>
          <w:sz w:val="20"/>
          <w:szCs w:val="20"/>
        </w:rPr>
        <w:t>(5, 6). Whilst the EMA concluded an association between CHADOX1 NCOV-19 vaccine and VITT was likely (4), they did not report any assessment of causation using formal criteria.</w:t>
      </w:r>
    </w:p>
    <w:p w14:paraId="05230EF1" w14:textId="34B426C5" w:rsidR="00D928D7" w:rsidRDefault="00D928D7" w:rsidP="00D928D7">
      <w:pPr>
        <w:spacing w:after="0" w:line="240" w:lineRule="auto"/>
        <w:jc w:val="both"/>
        <w:rPr>
          <w:rFonts w:ascii="Georgia" w:hAnsi="Georgia" w:cs="Calibri"/>
          <w:sz w:val="20"/>
          <w:szCs w:val="20"/>
        </w:rPr>
      </w:pPr>
      <w:r>
        <w:rPr>
          <w:rFonts w:ascii="Georgia" w:hAnsi="Georgia" w:cs="Calibri"/>
          <w:sz w:val="20"/>
          <w:szCs w:val="20"/>
        </w:rPr>
        <w:t xml:space="preserve">    </w:t>
      </w:r>
      <w:r w:rsidRPr="00D928D7">
        <w:rPr>
          <w:rFonts w:ascii="Georgia" w:hAnsi="Georgia" w:cs="Calibri"/>
          <w:sz w:val="20"/>
          <w:szCs w:val="20"/>
        </w:rPr>
        <w:t>The Bradford-Hill criteria are an accepted method for assessing causation</w:t>
      </w:r>
      <w:r w:rsidRPr="00D928D7">
        <w:rPr>
          <w:rFonts w:ascii="Georgia" w:hAnsi="Georgia"/>
          <w:sz w:val="20"/>
          <w:szCs w:val="20"/>
        </w:rPr>
        <w:t xml:space="preserve"> </w:t>
      </w:r>
      <w:r w:rsidRPr="00D928D7">
        <w:rPr>
          <w:rFonts w:ascii="Georgia" w:hAnsi="Georgia" w:cs="Calibri"/>
          <w:sz w:val="20"/>
          <w:szCs w:val="20"/>
        </w:rPr>
        <w:t xml:space="preserve">(7). The World Health Organization (WHO) suggests a set of modified Bradford-Hill criteria for assessing causality of adverse events following immunisation (Box 1) (8). Here, I demonstrate the application of the modified Bradford-Hill criteria to assess the association between CHADOX1 NCOV-19 vaccine and VITT.  </w:t>
      </w:r>
    </w:p>
    <w:p w14:paraId="7E4027A2" w14:textId="77777777" w:rsidR="00D928D7" w:rsidRPr="00D928D7" w:rsidRDefault="00D928D7" w:rsidP="00D928D7">
      <w:pPr>
        <w:spacing w:after="0" w:line="240" w:lineRule="auto"/>
        <w:jc w:val="both"/>
        <w:rPr>
          <w:rFonts w:ascii="Georgia" w:hAnsi="Georgia" w:cs="Calibri"/>
          <w:b/>
          <w:sz w:val="20"/>
          <w:szCs w:val="20"/>
        </w:rPr>
      </w:pPr>
    </w:p>
    <w:p w14:paraId="4B082AFC" w14:textId="77777777" w:rsidR="00D928D7" w:rsidRDefault="00D928D7" w:rsidP="00D928D7">
      <w:pPr>
        <w:spacing w:after="0" w:line="240" w:lineRule="auto"/>
        <w:jc w:val="both"/>
        <w:rPr>
          <w:rFonts w:ascii="Georgia" w:hAnsi="Georgia" w:cs="Calibri"/>
          <w:sz w:val="20"/>
          <w:szCs w:val="20"/>
          <w:u w:val="single"/>
        </w:rPr>
        <w:sectPr w:rsidR="00D928D7" w:rsidSect="00D928D7">
          <w:type w:val="continuous"/>
          <w:pgSz w:w="11906" w:h="16838"/>
          <w:pgMar w:top="1418" w:right="849" w:bottom="1560" w:left="851" w:header="426" w:footer="708" w:gutter="0"/>
          <w:cols w:num="2" w:space="284"/>
          <w:docGrid w:linePitch="360"/>
        </w:sectPr>
      </w:pPr>
    </w:p>
    <w:p w14:paraId="5FD7A62D" w14:textId="1D4A6B6E" w:rsidR="00D928D7" w:rsidRDefault="00D928D7" w:rsidP="00D928D7">
      <w:pPr>
        <w:spacing w:after="0" w:line="240" w:lineRule="auto"/>
        <w:jc w:val="both"/>
        <w:rPr>
          <w:rFonts w:ascii="Georgia" w:hAnsi="Georgia" w:cs="Calibri"/>
          <w:sz w:val="20"/>
          <w:szCs w:val="20"/>
          <w:u w:val="single"/>
        </w:rPr>
      </w:pPr>
    </w:p>
    <w:p w14:paraId="2A39EA42" w14:textId="77777777" w:rsidR="00D928D7" w:rsidRDefault="00D928D7" w:rsidP="00D928D7">
      <w:pPr>
        <w:spacing w:after="0" w:line="240" w:lineRule="auto"/>
        <w:jc w:val="both"/>
        <w:rPr>
          <w:rFonts w:ascii="Georgia" w:hAnsi="Georgia" w:cs="Calibri"/>
          <w:sz w:val="20"/>
          <w:szCs w:val="20"/>
          <w:u w:val="single"/>
        </w:rPr>
      </w:pPr>
    </w:p>
    <w:p w14:paraId="4DACB528" w14:textId="77777777" w:rsidR="00D928D7" w:rsidRDefault="00D928D7" w:rsidP="00D928D7">
      <w:pPr>
        <w:spacing w:after="0" w:line="240" w:lineRule="auto"/>
        <w:jc w:val="both"/>
        <w:rPr>
          <w:rFonts w:ascii="Georgia" w:hAnsi="Georgia" w:cs="Calibri"/>
          <w:sz w:val="20"/>
          <w:szCs w:val="20"/>
          <w:u w:val="single"/>
        </w:rPr>
      </w:pPr>
    </w:p>
    <w:p w14:paraId="444A79B0" w14:textId="77777777" w:rsidR="00D928D7" w:rsidRDefault="00D928D7" w:rsidP="00D928D7">
      <w:pPr>
        <w:spacing w:after="0" w:line="240" w:lineRule="auto"/>
        <w:jc w:val="both"/>
        <w:rPr>
          <w:rFonts w:ascii="Georgia" w:hAnsi="Georgia" w:cs="Calibri"/>
          <w:sz w:val="20"/>
          <w:szCs w:val="20"/>
          <w:u w:val="single"/>
        </w:rPr>
      </w:pPr>
    </w:p>
    <w:p w14:paraId="29D6EF2D" w14:textId="77777777" w:rsidR="00D928D7" w:rsidRDefault="00D928D7" w:rsidP="00D928D7">
      <w:pPr>
        <w:spacing w:after="0" w:line="240" w:lineRule="auto"/>
        <w:jc w:val="both"/>
        <w:rPr>
          <w:rFonts w:ascii="Georgia" w:hAnsi="Georgia" w:cs="Calibri"/>
          <w:sz w:val="20"/>
          <w:szCs w:val="20"/>
          <w:u w:val="single"/>
        </w:rPr>
      </w:pPr>
    </w:p>
    <w:p w14:paraId="4F472E1E" w14:textId="782B227C" w:rsidR="00D928D7" w:rsidRDefault="00D928D7" w:rsidP="00D928D7">
      <w:pPr>
        <w:spacing w:after="0" w:line="240" w:lineRule="auto"/>
        <w:jc w:val="both"/>
        <w:rPr>
          <w:rFonts w:ascii="Georgia" w:hAnsi="Georgia" w:cs="Calibri"/>
          <w:sz w:val="20"/>
          <w:szCs w:val="20"/>
        </w:rPr>
      </w:pPr>
      <w:r w:rsidRPr="00D928D7">
        <w:rPr>
          <w:rFonts w:ascii="Georgia" w:hAnsi="Georgia" w:cs="Calibri"/>
          <w:sz w:val="20"/>
          <w:szCs w:val="20"/>
        </w:rPr>
        <w:t xml:space="preserve"> </w:t>
      </w:r>
    </w:p>
    <w:p w14:paraId="2335B892" w14:textId="5EF68829" w:rsidR="00D928D7" w:rsidRDefault="00D928D7" w:rsidP="00D928D7">
      <w:pPr>
        <w:spacing w:after="0" w:line="240" w:lineRule="auto"/>
        <w:jc w:val="both"/>
        <w:rPr>
          <w:rFonts w:ascii="Georgia" w:hAnsi="Georgia" w:cs="Calibri"/>
          <w:sz w:val="20"/>
          <w:szCs w:val="20"/>
        </w:rPr>
      </w:pPr>
    </w:p>
    <w:p w14:paraId="32D285E8" w14:textId="293182B6" w:rsidR="00D928D7" w:rsidRDefault="00D928D7" w:rsidP="00D928D7">
      <w:pPr>
        <w:spacing w:after="0" w:line="240" w:lineRule="auto"/>
        <w:jc w:val="both"/>
        <w:rPr>
          <w:rFonts w:ascii="Georgia" w:hAnsi="Georgia" w:cs="Calibri"/>
          <w:sz w:val="20"/>
          <w:szCs w:val="20"/>
          <w:u w:val="single"/>
        </w:rPr>
      </w:pPr>
    </w:p>
    <w:p w14:paraId="6B704A5E" w14:textId="4DE1F893" w:rsidR="00D928D7" w:rsidRDefault="00D928D7" w:rsidP="00D928D7">
      <w:pPr>
        <w:spacing w:after="0" w:line="240" w:lineRule="auto"/>
        <w:jc w:val="both"/>
        <w:rPr>
          <w:rFonts w:ascii="Georgia" w:hAnsi="Georgia" w:cs="Calibri"/>
          <w:sz w:val="20"/>
          <w:szCs w:val="20"/>
          <w:u w:val="single"/>
        </w:rPr>
      </w:pPr>
    </w:p>
    <w:p w14:paraId="710A0620" w14:textId="2899FAF4" w:rsidR="00D928D7" w:rsidRDefault="00D928D7" w:rsidP="00D928D7">
      <w:pPr>
        <w:spacing w:after="0" w:line="240" w:lineRule="auto"/>
        <w:jc w:val="both"/>
        <w:rPr>
          <w:rFonts w:ascii="Georgia" w:hAnsi="Georgia" w:cs="Calibri"/>
          <w:sz w:val="20"/>
          <w:szCs w:val="20"/>
          <w:u w:val="single"/>
        </w:rPr>
      </w:pPr>
    </w:p>
    <w:p w14:paraId="363D29E6" w14:textId="637D2C6D" w:rsidR="00D928D7" w:rsidRDefault="00D928D7" w:rsidP="00D928D7">
      <w:pPr>
        <w:spacing w:after="0" w:line="240" w:lineRule="auto"/>
        <w:jc w:val="both"/>
        <w:rPr>
          <w:rFonts w:ascii="Georgia" w:hAnsi="Georgia" w:cs="Calibri"/>
          <w:sz w:val="20"/>
          <w:szCs w:val="20"/>
          <w:u w:val="single"/>
        </w:rPr>
      </w:pPr>
    </w:p>
    <w:p w14:paraId="541E4390" w14:textId="2812CFB8" w:rsidR="00D928D7" w:rsidRDefault="00D928D7" w:rsidP="00D928D7">
      <w:pPr>
        <w:spacing w:after="0" w:line="240" w:lineRule="auto"/>
        <w:jc w:val="both"/>
        <w:rPr>
          <w:rFonts w:ascii="Georgia" w:hAnsi="Georgia" w:cs="Calibri"/>
          <w:sz w:val="20"/>
          <w:szCs w:val="20"/>
          <w:u w:val="single"/>
        </w:rPr>
      </w:pPr>
    </w:p>
    <w:p w14:paraId="74B7889A" w14:textId="40007614" w:rsidR="00D928D7" w:rsidRDefault="00D928D7" w:rsidP="00D928D7">
      <w:pPr>
        <w:spacing w:after="0" w:line="240" w:lineRule="auto"/>
        <w:jc w:val="both"/>
        <w:rPr>
          <w:rFonts w:ascii="Georgia" w:hAnsi="Georgia" w:cs="Calibri"/>
          <w:sz w:val="20"/>
          <w:szCs w:val="20"/>
          <w:u w:val="single"/>
        </w:rPr>
      </w:pPr>
    </w:p>
    <w:p w14:paraId="6CBEBA19" w14:textId="6BF6534E" w:rsidR="00D928D7" w:rsidRDefault="00D928D7" w:rsidP="00D928D7">
      <w:pPr>
        <w:spacing w:after="0" w:line="240" w:lineRule="auto"/>
        <w:jc w:val="both"/>
        <w:rPr>
          <w:rFonts w:ascii="Georgia" w:hAnsi="Georgia" w:cs="Calibri"/>
          <w:sz w:val="20"/>
          <w:szCs w:val="20"/>
          <w:u w:val="single"/>
        </w:rPr>
      </w:pPr>
    </w:p>
    <w:p w14:paraId="63E6CBD9" w14:textId="28272F0E" w:rsidR="00D928D7" w:rsidRDefault="00D928D7" w:rsidP="00D928D7">
      <w:pPr>
        <w:spacing w:after="0" w:line="240" w:lineRule="auto"/>
        <w:jc w:val="both"/>
        <w:rPr>
          <w:rFonts w:ascii="Georgia" w:hAnsi="Georgia" w:cs="Calibri"/>
          <w:sz w:val="20"/>
          <w:szCs w:val="20"/>
          <w:u w:val="single"/>
        </w:rPr>
      </w:pPr>
    </w:p>
    <w:p w14:paraId="02450328" w14:textId="2C96CB8E" w:rsidR="00D928D7" w:rsidRDefault="00D928D7" w:rsidP="00D928D7">
      <w:pPr>
        <w:spacing w:after="0" w:line="240" w:lineRule="auto"/>
        <w:jc w:val="both"/>
        <w:rPr>
          <w:rFonts w:ascii="Georgia" w:hAnsi="Georgia" w:cs="Calibri"/>
          <w:sz w:val="20"/>
          <w:szCs w:val="20"/>
          <w:u w:val="single"/>
        </w:rPr>
      </w:pPr>
    </w:p>
    <w:p w14:paraId="300BDF01" w14:textId="527700BB" w:rsidR="00D928D7" w:rsidRDefault="00D928D7" w:rsidP="00D928D7">
      <w:pPr>
        <w:spacing w:after="0" w:line="240" w:lineRule="auto"/>
        <w:jc w:val="both"/>
        <w:rPr>
          <w:rFonts w:ascii="Georgia" w:hAnsi="Georgia" w:cs="Calibri"/>
          <w:sz w:val="20"/>
          <w:szCs w:val="20"/>
          <w:u w:val="single"/>
        </w:rPr>
      </w:pPr>
    </w:p>
    <w:p w14:paraId="3A63D7D5" w14:textId="77777777" w:rsidR="00D928D7" w:rsidRDefault="00D928D7" w:rsidP="00D928D7">
      <w:pPr>
        <w:spacing w:after="0" w:line="240" w:lineRule="auto"/>
        <w:jc w:val="both"/>
        <w:rPr>
          <w:rFonts w:ascii="Georgia" w:hAnsi="Georgia" w:cs="Calibri"/>
          <w:sz w:val="20"/>
          <w:szCs w:val="20"/>
        </w:rPr>
      </w:pPr>
    </w:p>
    <w:p w14:paraId="05770D07" w14:textId="433B74D3" w:rsidR="00D928D7" w:rsidRDefault="00D928D7" w:rsidP="00D928D7">
      <w:pPr>
        <w:spacing w:after="0" w:line="240" w:lineRule="auto"/>
        <w:jc w:val="both"/>
        <w:rPr>
          <w:rFonts w:ascii="Georgia" w:hAnsi="Georgia"/>
          <w:sz w:val="20"/>
          <w:szCs w:val="20"/>
        </w:rPr>
      </w:pPr>
    </w:p>
    <w:p w14:paraId="5AFD8DBB" w14:textId="77777777" w:rsidR="00D928D7" w:rsidRPr="00D928D7" w:rsidRDefault="00D928D7" w:rsidP="00D928D7">
      <w:pPr>
        <w:spacing w:after="0" w:line="240" w:lineRule="auto"/>
        <w:jc w:val="both"/>
        <w:rPr>
          <w:rFonts w:ascii="Georgia" w:hAnsi="Georgia" w:cs="Calibri"/>
          <w:sz w:val="20"/>
          <w:szCs w:val="20"/>
        </w:rPr>
      </w:pPr>
    </w:p>
    <w:p w14:paraId="140694ED" w14:textId="77777777" w:rsidR="00D928D7" w:rsidRDefault="00D928D7" w:rsidP="00D928D7">
      <w:pPr>
        <w:spacing w:after="0" w:line="240" w:lineRule="auto"/>
        <w:jc w:val="both"/>
        <w:rPr>
          <w:rFonts w:ascii="Georgia" w:hAnsi="Georgia" w:cs="Calibri"/>
          <w:sz w:val="20"/>
          <w:szCs w:val="20"/>
        </w:rPr>
        <w:sectPr w:rsidR="00D928D7" w:rsidSect="00DE2DB1">
          <w:type w:val="continuous"/>
          <w:pgSz w:w="11906" w:h="16838"/>
          <w:pgMar w:top="1418" w:right="849" w:bottom="1560" w:left="851" w:header="426" w:footer="708" w:gutter="0"/>
          <w:cols w:num="2" w:space="284"/>
          <w:docGrid w:linePitch="360"/>
        </w:sectPr>
      </w:pPr>
    </w:p>
    <w:p w14:paraId="289CB817" w14:textId="235BCE50" w:rsidR="00D928D7" w:rsidRPr="00D928D7" w:rsidRDefault="00D928D7" w:rsidP="00D928D7">
      <w:pPr>
        <w:spacing w:after="0" w:line="240" w:lineRule="auto"/>
        <w:jc w:val="both"/>
        <w:rPr>
          <w:rFonts w:ascii="Georgia" w:hAnsi="Georgia" w:cs="Calibri"/>
          <w:sz w:val="20"/>
          <w:szCs w:val="20"/>
        </w:rPr>
      </w:pPr>
    </w:p>
    <w:p w14:paraId="5E9EFD80" w14:textId="77777777" w:rsidR="00D928D7" w:rsidRPr="00D928D7" w:rsidRDefault="00D928D7" w:rsidP="00D928D7">
      <w:pPr>
        <w:spacing w:after="0" w:line="240" w:lineRule="auto"/>
        <w:jc w:val="center"/>
        <w:rPr>
          <w:rFonts w:ascii="Georgia" w:hAnsi="Georgia" w:cs="Calibri"/>
          <w:bCs/>
          <w:sz w:val="20"/>
          <w:szCs w:val="20"/>
        </w:rPr>
      </w:pPr>
      <w:r w:rsidRPr="00D928D7">
        <w:rPr>
          <w:rFonts w:ascii="Georgia" w:eastAsia="Times New Roman Uni" w:hAnsi="Georgia" w:cs="Times New Roman"/>
          <w:b/>
          <w:sz w:val="20"/>
          <w:szCs w:val="20"/>
        </w:rPr>
        <w:t>Box 1.</w:t>
      </w:r>
      <w:r w:rsidRPr="00D928D7">
        <w:rPr>
          <w:rFonts w:ascii="Georgia" w:eastAsia="Times New Roman Uni" w:hAnsi="Georgia" w:cs="Times New Roman"/>
          <w:bCs/>
          <w:sz w:val="20"/>
          <w:szCs w:val="20"/>
        </w:rPr>
        <w:t xml:space="preserve"> </w:t>
      </w:r>
      <w:r w:rsidRPr="00D928D7">
        <w:rPr>
          <w:rFonts w:ascii="Georgia" w:hAnsi="Georgia" w:cs="Calibri"/>
          <w:bCs/>
          <w:sz w:val="20"/>
          <w:szCs w:val="20"/>
        </w:rPr>
        <w:t>Modified Bradford Hill Criteria for adverse events following immunization {(WHO)., 2001 #1663}</w:t>
      </w:r>
    </w:p>
    <w:p w14:paraId="18AB3236" w14:textId="02A5A88E" w:rsidR="00D928D7" w:rsidRPr="00FA2382" w:rsidRDefault="00D928D7" w:rsidP="00D928D7">
      <w:pPr>
        <w:spacing w:after="0" w:line="240" w:lineRule="auto"/>
        <w:jc w:val="center"/>
        <w:rPr>
          <w:rFonts w:ascii="Georgia" w:eastAsia="Times New Roman Uni" w:hAnsi="Georgia" w:cs="Times New Roman"/>
          <w:bCs/>
          <w:sz w:val="20"/>
          <w:szCs w:val="26"/>
        </w:rPr>
      </w:pPr>
      <w:r>
        <w:rPr>
          <w:rFonts w:cs="Calibri"/>
          <w:noProof/>
        </w:rPr>
        <w:drawing>
          <wp:anchor distT="0" distB="0" distL="114300" distR="114300" simplePos="0" relativeHeight="251659268" behindDoc="0" locked="0" layoutInCell="1" allowOverlap="1" wp14:anchorId="1255FD47" wp14:editId="61E54A29">
            <wp:simplePos x="0" y="0"/>
            <wp:positionH relativeFrom="column">
              <wp:posOffset>678815</wp:posOffset>
            </wp:positionH>
            <wp:positionV relativeFrom="paragraph">
              <wp:posOffset>145415</wp:posOffset>
            </wp:positionV>
            <wp:extent cx="5259705" cy="2324100"/>
            <wp:effectExtent l="0" t="0" r="0" b="0"/>
            <wp:wrapSquare wrapText="bothSides"/>
            <wp:docPr id="6" name="Picture 6"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letter&#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259705" cy="2324100"/>
                    </a:xfrm>
                    <a:prstGeom prst="rect">
                      <a:avLst/>
                    </a:prstGeom>
                  </pic:spPr>
                </pic:pic>
              </a:graphicData>
            </a:graphic>
            <wp14:sizeRelH relativeFrom="page">
              <wp14:pctWidth>0</wp14:pctWidth>
            </wp14:sizeRelH>
            <wp14:sizeRelV relativeFrom="page">
              <wp14:pctHeight>0</wp14:pctHeight>
            </wp14:sizeRelV>
          </wp:anchor>
        </w:drawing>
      </w:r>
    </w:p>
    <w:p w14:paraId="280D7C3C" w14:textId="77777777" w:rsidR="00D928D7" w:rsidRDefault="00D928D7" w:rsidP="00D928D7">
      <w:pPr>
        <w:rPr>
          <w:rFonts w:cs="Calibri"/>
        </w:rPr>
        <w:sectPr w:rsidR="00D928D7" w:rsidSect="00D928D7">
          <w:type w:val="continuous"/>
          <w:pgSz w:w="11906" w:h="16838"/>
          <w:pgMar w:top="1418" w:right="849" w:bottom="1560" w:left="851" w:header="426" w:footer="708" w:gutter="0"/>
          <w:cols w:space="284"/>
          <w:docGrid w:linePitch="360"/>
        </w:sectPr>
      </w:pPr>
    </w:p>
    <w:p w14:paraId="66393B29" w14:textId="26400FAA" w:rsidR="00D928D7" w:rsidRPr="00FC136C" w:rsidRDefault="00D928D7" w:rsidP="00D928D7">
      <w:pPr>
        <w:rPr>
          <w:rFonts w:cs="Calibri"/>
        </w:rPr>
      </w:pPr>
    </w:p>
    <w:p w14:paraId="4D5730DB" w14:textId="77777777" w:rsidR="00D928D7" w:rsidRPr="00D928D7" w:rsidRDefault="00D928D7" w:rsidP="00D928D7">
      <w:pPr>
        <w:spacing w:after="0" w:line="240" w:lineRule="auto"/>
        <w:jc w:val="both"/>
        <w:rPr>
          <w:rFonts w:ascii="Georgia" w:hAnsi="Georgia" w:cs="Calibri"/>
          <w:sz w:val="20"/>
          <w:szCs w:val="20"/>
        </w:rPr>
      </w:pPr>
    </w:p>
    <w:p w14:paraId="00E1E265" w14:textId="74B6DA49" w:rsidR="00FD3B1D" w:rsidRDefault="00FD3B1D" w:rsidP="00D209B2">
      <w:pPr>
        <w:spacing w:after="0" w:line="240" w:lineRule="auto"/>
        <w:rPr>
          <w:rFonts w:ascii="Georgia" w:eastAsia="Times New Roman Uni" w:hAnsi="Georgia" w:cs="Times New Roman"/>
          <w:bCs/>
          <w:sz w:val="20"/>
          <w:szCs w:val="26"/>
        </w:rPr>
      </w:pPr>
    </w:p>
    <w:p w14:paraId="5507AF7F" w14:textId="345AEE85" w:rsidR="005B298D" w:rsidRDefault="005B298D" w:rsidP="005B298D">
      <w:pPr>
        <w:tabs>
          <w:tab w:val="left" w:pos="142"/>
        </w:tabs>
        <w:spacing w:before="240" w:line="240" w:lineRule="auto"/>
        <w:rPr>
          <w:rFonts w:ascii="Georgia" w:eastAsia="Times New Roman Uni" w:hAnsi="Georgia" w:cs="Times New Roman"/>
          <w:sz w:val="20"/>
          <w:szCs w:val="26"/>
        </w:rPr>
      </w:pPr>
    </w:p>
    <w:p w14:paraId="1F7D462D" w14:textId="1E02EAAE" w:rsidR="00D928D7" w:rsidRDefault="00D928D7" w:rsidP="005B298D">
      <w:pPr>
        <w:tabs>
          <w:tab w:val="left" w:pos="142"/>
        </w:tabs>
        <w:spacing w:before="240" w:line="240" w:lineRule="auto"/>
        <w:rPr>
          <w:rFonts w:ascii="Georgia" w:eastAsia="Times New Roman Uni" w:hAnsi="Georgia" w:cs="Times New Roman"/>
          <w:sz w:val="20"/>
          <w:szCs w:val="26"/>
        </w:rPr>
      </w:pPr>
    </w:p>
    <w:p w14:paraId="70F1E575" w14:textId="0AFCA7F4" w:rsidR="00D928D7" w:rsidRDefault="00D928D7" w:rsidP="005B298D">
      <w:pPr>
        <w:tabs>
          <w:tab w:val="left" w:pos="142"/>
        </w:tabs>
        <w:spacing w:before="240" w:line="240" w:lineRule="auto"/>
        <w:rPr>
          <w:rFonts w:ascii="Georgia" w:eastAsia="Times New Roman Uni" w:hAnsi="Georgia" w:cs="Times New Roman"/>
          <w:sz w:val="20"/>
          <w:szCs w:val="26"/>
        </w:rPr>
      </w:pPr>
    </w:p>
    <w:p w14:paraId="19C3E53A" w14:textId="0B3DB4A5" w:rsidR="00D928D7" w:rsidRDefault="00D928D7" w:rsidP="005B298D">
      <w:pPr>
        <w:tabs>
          <w:tab w:val="left" w:pos="142"/>
        </w:tabs>
        <w:spacing w:before="240" w:line="240" w:lineRule="auto"/>
        <w:rPr>
          <w:rFonts w:ascii="Georgia" w:eastAsia="Times New Roman Uni" w:hAnsi="Georgia" w:cs="Times New Roman"/>
          <w:sz w:val="20"/>
          <w:szCs w:val="26"/>
        </w:rPr>
      </w:pPr>
    </w:p>
    <w:p w14:paraId="5947D7DC" w14:textId="3430FC6C" w:rsidR="00D928D7" w:rsidRDefault="00D928D7" w:rsidP="005B298D">
      <w:pPr>
        <w:tabs>
          <w:tab w:val="left" w:pos="142"/>
        </w:tabs>
        <w:spacing w:before="240" w:line="240" w:lineRule="auto"/>
        <w:rPr>
          <w:rFonts w:ascii="Georgia" w:eastAsia="Times New Roman Uni" w:hAnsi="Georgia" w:cs="Times New Roman"/>
          <w:sz w:val="20"/>
          <w:szCs w:val="26"/>
        </w:rPr>
      </w:pPr>
    </w:p>
    <w:p w14:paraId="56508B7B" w14:textId="6B03DC20" w:rsidR="00D928D7" w:rsidRDefault="00D928D7" w:rsidP="005B298D">
      <w:pPr>
        <w:tabs>
          <w:tab w:val="left" w:pos="142"/>
        </w:tabs>
        <w:spacing w:before="240" w:line="240" w:lineRule="auto"/>
        <w:rPr>
          <w:rFonts w:ascii="Georgia" w:eastAsia="Times New Roman Uni" w:hAnsi="Georgia" w:cs="Times New Roman"/>
          <w:sz w:val="20"/>
          <w:szCs w:val="26"/>
        </w:rPr>
      </w:pPr>
    </w:p>
    <w:p w14:paraId="0E20ADCA" w14:textId="16B7E318" w:rsidR="00D928D7" w:rsidRDefault="00D928D7" w:rsidP="005B298D">
      <w:pPr>
        <w:tabs>
          <w:tab w:val="left" w:pos="142"/>
        </w:tabs>
        <w:spacing w:before="240" w:line="240" w:lineRule="auto"/>
        <w:rPr>
          <w:rFonts w:ascii="Georgia" w:eastAsia="Times New Roman Uni" w:hAnsi="Georgia" w:cs="Times New Roman"/>
          <w:sz w:val="20"/>
          <w:szCs w:val="26"/>
        </w:rPr>
      </w:pPr>
    </w:p>
    <w:p w14:paraId="462C2B27" w14:textId="77777777" w:rsidR="00D928D7" w:rsidRDefault="00D928D7" w:rsidP="005B298D">
      <w:pPr>
        <w:tabs>
          <w:tab w:val="left" w:pos="142"/>
        </w:tabs>
        <w:spacing w:before="240" w:line="240" w:lineRule="auto"/>
        <w:rPr>
          <w:rFonts w:ascii="Georgia" w:eastAsia="Times New Roman Uni" w:hAnsi="Georgia" w:cs="Times New Roman"/>
          <w:sz w:val="20"/>
          <w:szCs w:val="26"/>
        </w:rPr>
        <w:sectPr w:rsidR="00D928D7" w:rsidSect="00DE2DB1">
          <w:type w:val="continuous"/>
          <w:pgSz w:w="11906" w:h="16838"/>
          <w:pgMar w:top="1418" w:right="849" w:bottom="1560" w:left="851" w:header="426" w:footer="708" w:gutter="0"/>
          <w:cols w:num="2" w:space="284"/>
          <w:docGrid w:linePitch="360"/>
        </w:sectPr>
      </w:pPr>
    </w:p>
    <w:p w14:paraId="278FD8DA" w14:textId="2780610B" w:rsidR="00D928D7" w:rsidRDefault="00D928D7" w:rsidP="005B298D">
      <w:pPr>
        <w:tabs>
          <w:tab w:val="left" w:pos="142"/>
        </w:tabs>
        <w:spacing w:before="240" w:line="240" w:lineRule="auto"/>
        <w:rPr>
          <w:rFonts w:ascii="Georgia" w:eastAsia="Times New Roman Uni" w:hAnsi="Georgia" w:cs="Times New Roman"/>
          <w:sz w:val="20"/>
          <w:szCs w:val="26"/>
        </w:rPr>
      </w:pPr>
    </w:p>
    <w:p w14:paraId="0317AFBA" w14:textId="3EBD260C" w:rsidR="00D928D7" w:rsidRDefault="00D928D7" w:rsidP="005B298D">
      <w:pPr>
        <w:tabs>
          <w:tab w:val="left" w:pos="142"/>
        </w:tabs>
        <w:spacing w:before="240" w:line="240" w:lineRule="auto"/>
        <w:rPr>
          <w:rFonts w:ascii="Georgia" w:eastAsia="Times New Roman Uni" w:hAnsi="Georgia" w:cs="Times New Roman"/>
          <w:sz w:val="20"/>
          <w:szCs w:val="26"/>
        </w:rPr>
      </w:pPr>
    </w:p>
    <w:p w14:paraId="66E35B2E" w14:textId="77777777" w:rsidR="007B47DC" w:rsidRDefault="007B47DC" w:rsidP="00D928D7">
      <w:pPr>
        <w:spacing w:after="0" w:line="240" w:lineRule="auto"/>
        <w:jc w:val="both"/>
        <w:rPr>
          <w:rFonts w:ascii="Georgia" w:eastAsia="Times New Roman Uni" w:hAnsi="Georgia" w:cs="Times New Roman"/>
          <w:sz w:val="20"/>
          <w:szCs w:val="26"/>
        </w:rPr>
      </w:pPr>
    </w:p>
    <w:p w14:paraId="6819618C" w14:textId="77777777" w:rsidR="007B47DC" w:rsidRDefault="007B47DC" w:rsidP="00D928D7">
      <w:pPr>
        <w:spacing w:after="0" w:line="240" w:lineRule="auto"/>
        <w:jc w:val="both"/>
        <w:rPr>
          <w:rFonts w:ascii="Georgia" w:eastAsia="Times New Roman Uni" w:hAnsi="Georgia" w:cs="Times New Roman"/>
          <w:sz w:val="20"/>
          <w:szCs w:val="26"/>
        </w:rPr>
      </w:pPr>
    </w:p>
    <w:p w14:paraId="55B87793" w14:textId="77777777" w:rsidR="007B47DC" w:rsidRDefault="007B47DC" w:rsidP="00D928D7">
      <w:pPr>
        <w:spacing w:after="0" w:line="240" w:lineRule="auto"/>
        <w:jc w:val="both"/>
        <w:rPr>
          <w:rFonts w:ascii="Georgia" w:eastAsia="Times New Roman Uni" w:hAnsi="Georgia" w:cs="Times New Roman"/>
          <w:sz w:val="20"/>
          <w:szCs w:val="26"/>
        </w:rPr>
      </w:pPr>
    </w:p>
    <w:p w14:paraId="6C81B50D" w14:textId="77777777" w:rsidR="007B47DC" w:rsidRDefault="007B47DC" w:rsidP="00D928D7">
      <w:pPr>
        <w:spacing w:after="0" w:line="240" w:lineRule="auto"/>
        <w:jc w:val="both"/>
        <w:rPr>
          <w:rFonts w:ascii="Georgia" w:eastAsia="Times New Roman Uni" w:hAnsi="Georgia" w:cs="Times New Roman"/>
          <w:sz w:val="20"/>
          <w:szCs w:val="26"/>
        </w:rPr>
      </w:pPr>
    </w:p>
    <w:p w14:paraId="1D055C13" w14:textId="20D02755" w:rsidR="00D928D7" w:rsidRDefault="00D928D7" w:rsidP="00D928D7">
      <w:pPr>
        <w:spacing w:after="0" w:line="240" w:lineRule="auto"/>
        <w:jc w:val="both"/>
        <w:rPr>
          <w:rFonts w:ascii="Georgia" w:hAnsi="Georgia" w:cs="Calibri"/>
          <w:sz w:val="20"/>
          <w:szCs w:val="20"/>
          <w:u w:val="single"/>
        </w:rPr>
      </w:pPr>
      <w:r w:rsidRPr="00D928D7">
        <w:rPr>
          <w:rFonts w:ascii="Georgia" w:hAnsi="Georgia" w:cs="Calibri"/>
          <w:sz w:val="20"/>
          <w:szCs w:val="20"/>
          <w:u w:val="single"/>
        </w:rPr>
        <w:t>Consistency</w:t>
      </w:r>
    </w:p>
    <w:p w14:paraId="5FDB7074" w14:textId="2B92A5E7" w:rsidR="00D928D7" w:rsidRPr="00D928D7" w:rsidRDefault="00D928D7" w:rsidP="00D928D7">
      <w:pPr>
        <w:spacing w:after="0" w:line="240" w:lineRule="auto"/>
        <w:jc w:val="both"/>
        <w:rPr>
          <w:rFonts w:ascii="Georgia" w:hAnsi="Georgia" w:cs="Calibri"/>
          <w:sz w:val="20"/>
          <w:szCs w:val="20"/>
          <w:u w:val="single"/>
        </w:rPr>
      </w:pPr>
      <w:r w:rsidRPr="00D928D7">
        <w:rPr>
          <w:rFonts w:ascii="Georgia" w:hAnsi="Georgia" w:cs="Calibri"/>
          <w:sz w:val="20"/>
          <w:szCs w:val="20"/>
        </w:rPr>
        <w:t xml:space="preserve">    The syndrome has been reported independently in at least seven countries including Germany, Norway and the United Kingdom</w:t>
      </w:r>
      <w:r w:rsidRPr="00D928D7">
        <w:rPr>
          <w:rFonts w:ascii="Georgia" w:hAnsi="Georgia"/>
          <w:sz w:val="20"/>
          <w:szCs w:val="20"/>
        </w:rPr>
        <w:t xml:space="preserve"> </w:t>
      </w:r>
      <w:r w:rsidRPr="00D928D7">
        <w:rPr>
          <w:rFonts w:ascii="Georgia" w:hAnsi="Georgia" w:cs="Calibri"/>
          <w:sz w:val="20"/>
          <w:szCs w:val="20"/>
        </w:rPr>
        <w:t>(2, 3). The consistency of reports has prompted the European Medicines Agency to review the association and conclude there is a signal for a HIT or HITT-like syndrome</w:t>
      </w:r>
      <w:r w:rsidRPr="00D928D7">
        <w:rPr>
          <w:rFonts w:ascii="Georgia" w:hAnsi="Georgia"/>
          <w:sz w:val="20"/>
          <w:szCs w:val="20"/>
        </w:rPr>
        <w:t xml:space="preserve"> </w:t>
      </w:r>
      <w:r w:rsidRPr="00D928D7">
        <w:rPr>
          <w:rFonts w:ascii="Georgia" w:hAnsi="Georgia" w:cs="Calibri"/>
          <w:sz w:val="20"/>
          <w:szCs w:val="20"/>
        </w:rPr>
        <w:t xml:space="preserve">(3).  </w:t>
      </w:r>
    </w:p>
    <w:p w14:paraId="7AE3BCC7" w14:textId="77777777" w:rsidR="00D928D7" w:rsidRDefault="00D928D7" w:rsidP="00D928D7">
      <w:pPr>
        <w:tabs>
          <w:tab w:val="left" w:pos="142"/>
        </w:tabs>
        <w:spacing w:after="0" w:line="240" w:lineRule="auto"/>
        <w:jc w:val="both"/>
        <w:rPr>
          <w:rFonts w:ascii="Georgia" w:hAnsi="Georgia" w:cs="Calibri"/>
          <w:sz w:val="20"/>
          <w:szCs w:val="20"/>
          <w:u w:val="single"/>
        </w:rPr>
      </w:pPr>
    </w:p>
    <w:p w14:paraId="3F9C19C4" w14:textId="0362A86B" w:rsidR="00D928D7" w:rsidRPr="00D928D7" w:rsidRDefault="00D928D7" w:rsidP="00D928D7">
      <w:pPr>
        <w:tabs>
          <w:tab w:val="left" w:pos="142"/>
        </w:tabs>
        <w:spacing w:after="0" w:line="240" w:lineRule="auto"/>
        <w:jc w:val="both"/>
        <w:rPr>
          <w:rFonts w:ascii="Georgia" w:hAnsi="Georgia" w:cs="Calibri"/>
          <w:sz w:val="20"/>
          <w:szCs w:val="20"/>
        </w:rPr>
      </w:pPr>
      <w:r w:rsidRPr="00D928D7">
        <w:rPr>
          <w:rFonts w:ascii="Georgia" w:hAnsi="Georgia" w:cs="Calibri"/>
          <w:sz w:val="20"/>
          <w:szCs w:val="20"/>
          <w:u w:val="single"/>
        </w:rPr>
        <w:t>Strength of the association</w:t>
      </w:r>
    </w:p>
    <w:p w14:paraId="37152C5D" w14:textId="6C1E2BDF" w:rsidR="00D928D7" w:rsidRDefault="00D928D7" w:rsidP="00D928D7">
      <w:pPr>
        <w:tabs>
          <w:tab w:val="left" w:pos="142"/>
        </w:tabs>
        <w:spacing w:after="0" w:line="240" w:lineRule="auto"/>
        <w:jc w:val="both"/>
        <w:rPr>
          <w:rFonts w:ascii="Georgia" w:hAnsi="Georgia" w:cs="Calibri"/>
          <w:sz w:val="20"/>
          <w:szCs w:val="20"/>
        </w:rPr>
      </w:pPr>
      <w:r>
        <w:rPr>
          <w:rFonts w:ascii="Georgia" w:hAnsi="Georgia" w:cs="Calibri"/>
          <w:sz w:val="20"/>
          <w:szCs w:val="20"/>
        </w:rPr>
        <w:t xml:space="preserve">    </w:t>
      </w:r>
      <w:r w:rsidRPr="00D928D7">
        <w:rPr>
          <w:rFonts w:ascii="Georgia" w:hAnsi="Georgia" w:cs="Calibri"/>
          <w:sz w:val="20"/>
          <w:szCs w:val="20"/>
        </w:rPr>
        <w:t>The rate of general thrombotic disorders does not appear increased in people who are vaccinated</w:t>
      </w:r>
      <w:r w:rsidRPr="00D928D7">
        <w:rPr>
          <w:rFonts w:ascii="Georgia" w:hAnsi="Georgia"/>
          <w:sz w:val="20"/>
          <w:szCs w:val="20"/>
        </w:rPr>
        <w:t xml:space="preserve"> </w:t>
      </w:r>
      <w:r w:rsidRPr="00D928D7">
        <w:rPr>
          <w:rFonts w:ascii="Georgia" w:hAnsi="Georgia" w:cs="Calibri"/>
          <w:sz w:val="20"/>
          <w:szCs w:val="20"/>
        </w:rPr>
        <w:t>(3). However, the rate of HITT-like syndrome appears increased. The rate of CVST reported from Germany was 31 from 2.7 million vaccinations, which is a rate of 11.5 per million, compared to a reported general community incidence of 3 to 5 per million</w:t>
      </w:r>
      <w:r w:rsidRPr="00D928D7">
        <w:rPr>
          <w:rFonts w:ascii="Georgia" w:hAnsi="Georgia"/>
          <w:sz w:val="20"/>
          <w:szCs w:val="20"/>
        </w:rPr>
        <w:t xml:space="preserve"> </w:t>
      </w:r>
      <w:r w:rsidRPr="00D928D7">
        <w:rPr>
          <w:rFonts w:ascii="Georgia" w:hAnsi="Georgia" w:cs="Calibri"/>
          <w:sz w:val="20"/>
          <w:szCs w:val="20"/>
        </w:rPr>
        <w:t>(9, 10). CVST appears to be 2.2 to 3.8 times higher than the reported community incidence. More data are needed to determine the overall risk of HITT-like syndrome following vaccination with greater certainty. However, the EMA concluded the association is real, with 62 cases of CVST and 24 of splanchnic vein thrombosis in Europe following 25 million vaccinations.</w:t>
      </w:r>
    </w:p>
    <w:p w14:paraId="5C860AD0" w14:textId="1D59B0B2" w:rsidR="00D928D7" w:rsidRDefault="00D928D7" w:rsidP="00D928D7">
      <w:pPr>
        <w:tabs>
          <w:tab w:val="left" w:pos="142"/>
        </w:tabs>
        <w:spacing w:after="0" w:line="240" w:lineRule="auto"/>
        <w:jc w:val="both"/>
        <w:rPr>
          <w:rFonts w:ascii="Georgia" w:hAnsi="Georgia" w:cs="Calibri"/>
          <w:sz w:val="20"/>
          <w:szCs w:val="20"/>
        </w:rPr>
      </w:pPr>
    </w:p>
    <w:p w14:paraId="4A6E44FF" w14:textId="77777777" w:rsidR="00D928D7" w:rsidRPr="00D928D7" w:rsidRDefault="00D928D7" w:rsidP="00D928D7">
      <w:pPr>
        <w:spacing w:after="0" w:line="240" w:lineRule="auto"/>
        <w:jc w:val="both"/>
        <w:rPr>
          <w:rFonts w:ascii="Georgia" w:hAnsi="Georgia" w:cs="Calibri"/>
          <w:sz w:val="20"/>
          <w:szCs w:val="20"/>
        </w:rPr>
      </w:pPr>
      <w:r w:rsidRPr="00D928D7">
        <w:rPr>
          <w:rFonts w:ascii="Georgia" w:hAnsi="Georgia" w:cs="Calibri"/>
          <w:sz w:val="20"/>
          <w:szCs w:val="20"/>
          <w:u w:val="single"/>
        </w:rPr>
        <w:t>Specificity</w:t>
      </w:r>
    </w:p>
    <w:p w14:paraId="64C4522F" w14:textId="0F56F350" w:rsidR="00D928D7" w:rsidRPr="00D928D7" w:rsidRDefault="00D928D7" w:rsidP="00D928D7">
      <w:pPr>
        <w:spacing w:after="0" w:line="240" w:lineRule="auto"/>
        <w:jc w:val="both"/>
        <w:rPr>
          <w:rFonts w:ascii="Georgia" w:hAnsi="Georgia" w:cs="Calibri"/>
          <w:sz w:val="20"/>
          <w:szCs w:val="20"/>
        </w:rPr>
      </w:pPr>
      <w:r w:rsidRPr="00D928D7">
        <w:rPr>
          <w:rFonts w:ascii="Georgia" w:hAnsi="Georgia" w:cs="Calibri"/>
          <w:sz w:val="20"/>
          <w:szCs w:val="20"/>
        </w:rPr>
        <w:t xml:space="preserve">    The syndrome itself is specific, associated with thrombocytopenia and thrombosis, in many cases with antibodies to platelet factor 4 (PF4), which is also seen in HITT</w:t>
      </w:r>
      <w:r w:rsidRPr="00D928D7">
        <w:rPr>
          <w:rFonts w:ascii="Georgia" w:hAnsi="Georgia"/>
          <w:sz w:val="20"/>
          <w:szCs w:val="20"/>
        </w:rPr>
        <w:t xml:space="preserve"> </w:t>
      </w:r>
      <w:r w:rsidRPr="00D928D7">
        <w:rPr>
          <w:rFonts w:ascii="Georgia" w:hAnsi="Georgia" w:cs="Calibri"/>
          <w:sz w:val="20"/>
          <w:szCs w:val="20"/>
        </w:rPr>
        <w:t>(11). This has not been seen following other COVID-19 vaccines in common use, the mRNA vaccines</w:t>
      </w:r>
      <w:r w:rsidRPr="00D928D7">
        <w:rPr>
          <w:rFonts w:ascii="Georgia" w:hAnsi="Georgia"/>
          <w:sz w:val="20"/>
          <w:szCs w:val="20"/>
        </w:rPr>
        <w:t xml:space="preserve"> </w:t>
      </w:r>
      <w:r w:rsidRPr="00D928D7">
        <w:rPr>
          <w:rFonts w:ascii="Georgia" w:hAnsi="Georgia" w:cs="Calibri"/>
          <w:sz w:val="20"/>
          <w:szCs w:val="20"/>
        </w:rPr>
        <w:t>(12). Very specific manifestations of VITT are CVST and splanchnic vein thrombosis with a high case fatality rate (5, 6).</w:t>
      </w:r>
      <w:r w:rsidRPr="00D928D7">
        <w:rPr>
          <w:rFonts w:ascii="Georgia" w:hAnsi="Georgia"/>
          <w:sz w:val="20"/>
          <w:szCs w:val="20"/>
        </w:rPr>
        <w:t xml:space="preserve"> </w:t>
      </w:r>
    </w:p>
    <w:p w14:paraId="14DC5C0E" w14:textId="7891C836" w:rsidR="00D928D7" w:rsidRDefault="00D928D7" w:rsidP="00D928D7">
      <w:pPr>
        <w:tabs>
          <w:tab w:val="left" w:pos="142"/>
        </w:tabs>
        <w:spacing w:after="0" w:line="240" w:lineRule="auto"/>
        <w:jc w:val="both"/>
        <w:rPr>
          <w:rFonts w:ascii="Georgia" w:eastAsia="Times New Roman Uni" w:hAnsi="Georgia" w:cs="Times New Roman"/>
          <w:sz w:val="16"/>
        </w:rPr>
      </w:pPr>
    </w:p>
    <w:p w14:paraId="5B65905C" w14:textId="77777777" w:rsidR="00D928D7" w:rsidRDefault="00D928D7" w:rsidP="00D928D7">
      <w:pPr>
        <w:spacing w:after="0" w:line="240" w:lineRule="auto"/>
        <w:jc w:val="both"/>
        <w:rPr>
          <w:rFonts w:ascii="Georgia" w:hAnsi="Georgia" w:cs="Calibri"/>
          <w:sz w:val="20"/>
          <w:szCs w:val="20"/>
          <w:u w:val="single"/>
        </w:rPr>
      </w:pPr>
      <w:r w:rsidRPr="00D928D7">
        <w:rPr>
          <w:rFonts w:ascii="Georgia" w:hAnsi="Georgia" w:cs="Calibri"/>
          <w:sz w:val="20"/>
          <w:szCs w:val="20"/>
          <w:u w:val="single"/>
        </w:rPr>
        <w:t>Temporal relationship</w:t>
      </w:r>
    </w:p>
    <w:p w14:paraId="080A8D7B" w14:textId="08217DD5" w:rsidR="00D928D7" w:rsidRDefault="00D928D7" w:rsidP="00D928D7">
      <w:pPr>
        <w:spacing w:after="0" w:line="240" w:lineRule="auto"/>
        <w:jc w:val="both"/>
        <w:rPr>
          <w:rFonts w:ascii="Georgia" w:hAnsi="Georgia"/>
          <w:sz w:val="20"/>
          <w:szCs w:val="20"/>
        </w:rPr>
      </w:pPr>
      <w:r w:rsidRPr="00D928D7">
        <w:rPr>
          <w:rFonts w:ascii="Georgia" w:hAnsi="Georgia" w:cs="Calibri"/>
          <w:sz w:val="20"/>
          <w:szCs w:val="20"/>
        </w:rPr>
        <w:t xml:space="preserve">     Reports of the syndrome show a clear temporal relationship within 4 to 20 days after vaccination, most commonly within 14 days (2, 11). This has been observed across different case series (5, 6).</w:t>
      </w:r>
      <w:r w:rsidRPr="00D928D7">
        <w:rPr>
          <w:rFonts w:ascii="Georgia" w:hAnsi="Georgia"/>
          <w:sz w:val="20"/>
          <w:szCs w:val="20"/>
        </w:rPr>
        <w:t xml:space="preserve"> </w:t>
      </w:r>
    </w:p>
    <w:p w14:paraId="07E505AF" w14:textId="7817D1FA" w:rsidR="00D928D7" w:rsidRDefault="00D928D7" w:rsidP="00D928D7">
      <w:pPr>
        <w:spacing w:after="0" w:line="240" w:lineRule="auto"/>
        <w:jc w:val="both"/>
        <w:rPr>
          <w:rFonts w:ascii="Georgia" w:hAnsi="Georgia"/>
          <w:sz w:val="20"/>
          <w:szCs w:val="20"/>
        </w:rPr>
      </w:pPr>
    </w:p>
    <w:p w14:paraId="44DF67FE" w14:textId="49A564FF" w:rsidR="00D928D7" w:rsidRDefault="00D928D7" w:rsidP="00D928D7">
      <w:pPr>
        <w:spacing w:after="0" w:line="240" w:lineRule="auto"/>
        <w:jc w:val="both"/>
        <w:rPr>
          <w:rFonts w:ascii="Georgia" w:hAnsi="Georgia"/>
          <w:sz w:val="20"/>
          <w:szCs w:val="20"/>
        </w:rPr>
      </w:pPr>
    </w:p>
    <w:p w14:paraId="69206FCA" w14:textId="1C6D7A77" w:rsidR="00D928D7" w:rsidRDefault="00D928D7" w:rsidP="00D928D7">
      <w:pPr>
        <w:spacing w:after="0" w:line="240" w:lineRule="auto"/>
        <w:jc w:val="both"/>
        <w:rPr>
          <w:rFonts w:ascii="Georgia" w:hAnsi="Georgia"/>
          <w:sz w:val="20"/>
          <w:szCs w:val="20"/>
        </w:rPr>
      </w:pPr>
    </w:p>
    <w:p w14:paraId="2EFFF828" w14:textId="2CDFD09A" w:rsidR="00D928D7" w:rsidRDefault="00D928D7" w:rsidP="00D928D7">
      <w:pPr>
        <w:spacing w:after="0" w:line="240" w:lineRule="auto"/>
        <w:jc w:val="both"/>
        <w:rPr>
          <w:rFonts w:ascii="Georgia" w:hAnsi="Georgia"/>
          <w:sz w:val="20"/>
          <w:szCs w:val="20"/>
        </w:rPr>
      </w:pPr>
    </w:p>
    <w:p w14:paraId="21527505" w14:textId="736008D2" w:rsidR="00D928D7" w:rsidRDefault="00D928D7" w:rsidP="00D928D7">
      <w:pPr>
        <w:spacing w:after="0" w:line="240" w:lineRule="auto"/>
        <w:jc w:val="both"/>
        <w:rPr>
          <w:rFonts w:ascii="Georgia" w:hAnsi="Georgia"/>
          <w:sz w:val="20"/>
          <w:szCs w:val="20"/>
        </w:rPr>
      </w:pPr>
    </w:p>
    <w:p w14:paraId="463F4F7C" w14:textId="05D910CE" w:rsidR="00D928D7" w:rsidRDefault="00D928D7" w:rsidP="00D928D7">
      <w:pPr>
        <w:spacing w:after="0" w:line="240" w:lineRule="auto"/>
        <w:jc w:val="both"/>
        <w:rPr>
          <w:rFonts w:ascii="Georgia" w:hAnsi="Georgia"/>
          <w:sz w:val="20"/>
          <w:szCs w:val="20"/>
        </w:rPr>
      </w:pPr>
    </w:p>
    <w:p w14:paraId="7366709F" w14:textId="3BFB7009" w:rsidR="00D928D7" w:rsidRDefault="00D928D7" w:rsidP="00D928D7">
      <w:pPr>
        <w:spacing w:after="0" w:line="240" w:lineRule="auto"/>
        <w:jc w:val="both"/>
        <w:rPr>
          <w:rFonts w:ascii="Georgia" w:hAnsi="Georgia"/>
          <w:sz w:val="20"/>
          <w:szCs w:val="20"/>
        </w:rPr>
      </w:pPr>
    </w:p>
    <w:p w14:paraId="3805CEE1" w14:textId="51DE5DC3" w:rsidR="00D928D7" w:rsidRDefault="00D928D7" w:rsidP="00D928D7">
      <w:pPr>
        <w:spacing w:after="0" w:line="240" w:lineRule="auto"/>
        <w:jc w:val="both"/>
        <w:rPr>
          <w:rFonts w:ascii="Georgia" w:hAnsi="Georgia"/>
          <w:sz w:val="20"/>
          <w:szCs w:val="20"/>
        </w:rPr>
      </w:pPr>
    </w:p>
    <w:p w14:paraId="255D44E2" w14:textId="77777777" w:rsidR="00D928D7" w:rsidRDefault="00D928D7" w:rsidP="00D928D7">
      <w:pPr>
        <w:spacing w:after="0" w:line="240" w:lineRule="auto"/>
        <w:jc w:val="both"/>
        <w:rPr>
          <w:rFonts w:ascii="Georgia" w:hAnsi="Georgia" w:cs="Calibri"/>
          <w:sz w:val="20"/>
          <w:szCs w:val="20"/>
          <w:u w:val="single"/>
        </w:rPr>
      </w:pPr>
      <w:r w:rsidRPr="00D928D7">
        <w:rPr>
          <w:rFonts w:ascii="Georgia" w:hAnsi="Georgia" w:cs="Calibri"/>
          <w:sz w:val="20"/>
          <w:szCs w:val="20"/>
          <w:u w:val="single"/>
        </w:rPr>
        <w:t>Biological plausibility</w:t>
      </w:r>
    </w:p>
    <w:p w14:paraId="468B5EB2" w14:textId="5B54F6D3" w:rsidR="00D928D7" w:rsidRPr="00A129E4" w:rsidRDefault="00D928D7" w:rsidP="00A129E4">
      <w:pPr>
        <w:spacing w:after="0" w:line="240" w:lineRule="auto"/>
        <w:jc w:val="both"/>
        <w:rPr>
          <w:rFonts w:ascii="Georgia" w:hAnsi="Georgia"/>
          <w:sz w:val="20"/>
          <w:szCs w:val="20"/>
        </w:rPr>
      </w:pPr>
      <w:r w:rsidRPr="00D928D7">
        <w:rPr>
          <w:rFonts w:ascii="Georgia" w:hAnsi="Georgia" w:cs="Calibri"/>
          <w:sz w:val="20"/>
          <w:szCs w:val="20"/>
        </w:rPr>
        <w:t xml:space="preserve">    Two possible mechanisms of action are through the adenoviral vector, or through the expression of SARS-COV-2 spike protein. The European Medicines Agency concluded that the construct used in the CHADOX1 NCOV-19 vaccine encoding for the spike protein is less likely to impact on thrombosis than the viral vector</w:t>
      </w:r>
      <w:r w:rsidRPr="00D928D7">
        <w:rPr>
          <w:rFonts w:ascii="Georgia" w:hAnsi="Georgia"/>
          <w:sz w:val="20"/>
          <w:szCs w:val="20"/>
        </w:rPr>
        <w:t xml:space="preserve"> </w:t>
      </w:r>
      <w:r w:rsidRPr="00D928D7">
        <w:rPr>
          <w:rFonts w:ascii="Georgia" w:hAnsi="Georgia" w:cs="Calibri"/>
          <w:sz w:val="20"/>
          <w:szCs w:val="20"/>
        </w:rPr>
        <w:t>(3). The adenovirus 5 vector (Ad 5) is associated with thrombocytopenia in animals and humans, increased von Willebrand factor antigen, as well as activation of platelets and the coagulation cascade (3, 13-15). Studies of Ad 5 suggests a biologically plausible mechanism for thrombocytopenia and thrombosis</w:t>
      </w:r>
      <w:r w:rsidRPr="00D928D7">
        <w:rPr>
          <w:rFonts w:ascii="Georgia" w:hAnsi="Georgia"/>
          <w:sz w:val="20"/>
          <w:szCs w:val="20"/>
        </w:rPr>
        <w:t xml:space="preserve"> </w:t>
      </w:r>
      <w:r w:rsidRPr="00D928D7">
        <w:rPr>
          <w:rFonts w:ascii="Georgia" w:hAnsi="Georgia" w:cs="Calibri"/>
          <w:sz w:val="20"/>
          <w:szCs w:val="20"/>
        </w:rPr>
        <w:t xml:space="preserve">(13). The CHADOX1 NCOV-19 vaccine uses a chimpanzee adenovirus (ChAdOx1). A </w:t>
      </w:r>
      <w:proofErr w:type="spellStart"/>
      <w:r w:rsidRPr="00D928D7">
        <w:rPr>
          <w:rFonts w:ascii="Georgia" w:hAnsi="Georgia" w:cs="Calibri"/>
          <w:sz w:val="20"/>
          <w:szCs w:val="20"/>
        </w:rPr>
        <w:t>ChAd</w:t>
      </w:r>
      <w:proofErr w:type="spellEnd"/>
      <w:r w:rsidRPr="00D928D7">
        <w:rPr>
          <w:rFonts w:ascii="Georgia" w:hAnsi="Georgia" w:cs="Calibri"/>
          <w:sz w:val="20"/>
          <w:szCs w:val="20"/>
        </w:rPr>
        <w:t xml:space="preserve"> vector was used in an Ebola vaccine ChAd3-EBO-Z – phase 1 and 2 trials showed a transient thrombocytopenia in some vaccinated subjects</w:t>
      </w:r>
      <w:r w:rsidRPr="00D928D7">
        <w:rPr>
          <w:rFonts w:ascii="Georgia" w:hAnsi="Georgia"/>
          <w:sz w:val="20"/>
          <w:szCs w:val="20"/>
        </w:rPr>
        <w:t xml:space="preserve"> </w:t>
      </w:r>
      <w:r w:rsidRPr="00D928D7">
        <w:rPr>
          <w:rFonts w:ascii="Georgia" w:hAnsi="Georgia" w:cs="Calibri"/>
          <w:sz w:val="20"/>
          <w:szCs w:val="20"/>
        </w:rPr>
        <w:t>(16-18). It is postulated that the ChAdOx1 virus may bind directly to platelets or to PF4</w:t>
      </w:r>
      <w:r w:rsidRPr="00D928D7">
        <w:rPr>
          <w:rFonts w:ascii="Georgia" w:hAnsi="Georgia"/>
          <w:sz w:val="20"/>
          <w:szCs w:val="20"/>
        </w:rPr>
        <w:t xml:space="preserve"> </w:t>
      </w:r>
      <w:r w:rsidRPr="00D928D7">
        <w:rPr>
          <w:rFonts w:ascii="Georgia" w:hAnsi="Georgia" w:cs="Calibri"/>
          <w:sz w:val="20"/>
          <w:szCs w:val="20"/>
        </w:rPr>
        <w:t xml:space="preserve">(11). However, the dose of adenovirus in the </w:t>
      </w:r>
      <w:r w:rsidRPr="00A129E4">
        <w:rPr>
          <w:rFonts w:ascii="Georgia" w:hAnsi="Georgia" w:cs="Calibri"/>
          <w:color w:val="000000" w:themeColor="text1"/>
          <w:sz w:val="20"/>
          <w:szCs w:val="20"/>
        </w:rPr>
        <w:t xml:space="preserve">vaccine is very small, and an alternative hypothesis is that </w:t>
      </w:r>
      <w:r w:rsidR="00A129E4" w:rsidRPr="00A129E4">
        <w:rPr>
          <w:rFonts w:ascii="Georgia" w:hAnsi="Georgia"/>
          <w:color w:val="000000" w:themeColor="text1"/>
          <w:spacing w:val="-8"/>
          <w:sz w:val="20"/>
          <w:szCs w:val="20"/>
          <w:bdr w:val="none" w:sz="0" w:space="0" w:color="auto" w:frame="1"/>
          <w:shd w:val="clear" w:color="auto" w:fill="FFFFFF"/>
          <w:lang w:val="en-GB"/>
        </w:rPr>
        <w:t>free DNA in the vaccine may form multimolecular complexes with PF4 (</w:t>
      </w:r>
      <w:hyperlink r:id="rId10" w:anchor="5" w:tgtFrame="_blank" w:history="1">
        <w:r w:rsidR="00A129E4" w:rsidRPr="00A129E4">
          <w:rPr>
            <w:rStyle w:val="Hyperlink"/>
            <w:rFonts w:ascii="Georgia" w:hAnsi="Georgia"/>
            <w:color w:val="000000" w:themeColor="text1"/>
            <w:spacing w:val="-8"/>
            <w:sz w:val="20"/>
            <w:szCs w:val="20"/>
            <w:bdr w:val="none" w:sz="0" w:space="0" w:color="auto" w:frame="1"/>
            <w:shd w:val="clear" w:color="auto" w:fill="FFFFFF"/>
            <w:lang w:val="en-GB"/>
          </w:rPr>
          <w:t>5</w:t>
        </w:r>
      </w:hyperlink>
      <w:r w:rsidR="00A129E4" w:rsidRPr="00A129E4">
        <w:rPr>
          <w:rFonts w:ascii="Georgia" w:hAnsi="Georgia"/>
          <w:color w:val="000000" w:themeColor="text1"/>
          <w:spacing w:val="-8"/>
          <w:sz w:val="20"/>
          <w:szCs w:val="20"/>
          <w:bdr w:val="none" w:sz="0" w:space="0" w:color="auto" w:frame="1"/>
          <w:shd w:val="clear" w:color="auto" w:fill="FFFFFF"/>
          <w:lang w:val="en-GB"/>
        </w:rPr>
        <w:t>)</w:t>
      </w:r>
      <w:r w:rsidRPr="00A129E4">
        <w:rPr>
          <w:rFonts w:ascii="Georgia" w:hAnsi="Georgia" w:cs="Calibri"/>
          <w:color w:val="000000" w:themeColor="text1"/>
          <w:sz w:val="20"/>
          <w:szCs w:val="20"/>
        </w:rPr>
        <w:t xml:space="preserve">, which can bind to antibodies from patients with HITT and also induce antibodies against PF4–heparin in </w:t>
      </w:r>
      <w:r w:rsidRPr="00D928D7">
        <w:rPr>
          <w:rFonts w:ascii="Georgia" w:hAnsi="Georgia" w:cs="Calibri"/>
          <w:sz w:val="20"/>
          <w:szCs w:val="20"/>
        </w:rPr>
        <w:t>a mouse model</w:t>
      </w:r>
      <w:r w:rsidRPr="00D928D7">
        <w:rPr>
          <w:rFonts w:ascii="Georgia" w:hAnsi="Georgia"/>
          <w:sz w:val="20"/>
          <w:szCs w:val="20"/>
        </w:rPr>
        <w:t xml:space="preserve"> </w:t>
      </w:r>
      <w:r w:rsidRPr="00D928D7">
        <w:rPr>
          <w:rFonts w:ascii="Georgia" w:hAnsi="Georgia" w:cs="Calibri"/>
          <w:sz w:val="20"/>
          <w:szCs w:val="20"/>
        </w:rPr>
        <w:t>(19). A study comparing the immunogenic epitopes of PF4 and SARS-CoV-2 spike protein found that it is unlikely that the immune response to the spike protein induces VITT (20).</w:t>
      </w:r>
    </w:p>
    <w:p w14:paraId="4D6BE772" w14:textId="088178F3" w:rsidR="00D928D7" w:rsidRDefault="00D928D7" w:rsidP="00D928D7">
      <w:pPr>
        <w:spacing w:after="0" w:line="240" w:lineRule="auto"/>
        <w:jc w:val="both"/>
        <w:rPr>
          <w:rFonts w:ascii="Georgia" w:hAnsi="Georgia" w:cs="Calibri"/>
          <w:sz w:val="20"/>
          <w:szCs w:val="20"/>
        </w:rPr>
      </w:pPr>
    </w:p>
    <w:p w14:paraId="6A09A5CB" w14:textId="06CAC6A0" w:rsidR="00D928D7" w:rsidRPr="00D928D7" w:rsidRDefault="00D928D7" w:rsidP="00D928D7">
      <w:pPr>
        <w:spacing w:after="0" w:line="240" w:lineRule="auto"/>
        <w:jc w:val="both"/>
        <w:rPr>
          <w:rFonts w:ascii="Georgia" w:hAnsi="Georgia" w:cs="Calibri"/>
          <w:b/>
          <w:bCs/>
          <w:sz w:val="20"/>
          <w:szCs w:val="20"/>
        </w:rPr>
      </w:pPr>
      <w:r>
        <w:rPr>
          <w:rFonts w:ascii="Georgia" w:hAnsi="Georgia" w:cs="Calibri"/>
          <w:b/>
          <w:bCs/>
          <w:sz w:val="20"/>
          <w:szCs w:val="20"/>
        </w:rPr>
        <w:t>Conclusion</w:t>
      </w:r>
    </w:p>
    <w:p w14:paraId="19F0D52F" w14:textId="6C555DA0" w:rsidR="00D928D7" w:rsidRDefault="00D928D7" w:rsidP="00D928D7">
      <w:pPr>
        <w:spacing w:after="0" w:line="240" w:lineRule="auto"/>
        <w:jc w:val="both"/>
        <w:rPr>
          <w:rFonts w:ascii="Georgia" w:hAnsi="Georgia" w:cs="Calibri"/>
          <w:sz w:val="20"/>
          <w:szCs w:val="20"/>
        </w:rPr>
      </w:pPr>
      <w:r>
        <w:rPr>
          <w:rFonts w:ascii="Georgia" w:hAnsi="Georgia" w:cs="Calibri"/>
          <w:sz w:val="20"/>
          <w:szCs w:val="20"/>
        </w:rPr>
        <w:t xml:space="preserve">    </w:t>
      </w:r>
      <w:r w:rsidRPr="00D928D7">
        <w:rPr>
          <w:rFonts w:ascii="Georgia" w:hAnsi="Georgia" w:cs="Calibri"/>
          <w:sz w:val="20"/>
          <w:szCs w:val="20"/>
        </w:rPr>
        <w:t>In summary, all criteria for causation are met, with consistency, specificity, temporality and biological plausibility being very clearly met. Strength of association is met, but more data required to establish the precise estimate of the association, as case ascertainment may be variable between countries, resulting in varied estimates of incidence rates from 25 to 0.5 per 100,000</w:t>
      </w:r>
      <w:r w:rsidRPr="00D928D7">
        <w:rPr>
          <w:rFonts w:ascii="Georgia" w:hAnsi="Georgia"/>
          <w:sz w:val="20"/>
          <w:szCs w:val="20"/>
        </w:rPr>
        <w:t xml:space="preserve"> </w:t>
      </w:r>
      <w:r w:rsidRPr="00D928D7">
        <w:rPr>
          <w:rFonts w:ascii="Georgia" w:hAnsi="Georgia" w:cs="Calibri"/>
          <w:sz w:val="20"/>
          <w:szCs w:val="20"/>
        </w:rPr>
        <w:t xml:space="preserve">(2, 4). The application of the modified </w:t>
      </w:r>
      <w:r w:rsidRPr="00D928D7">
        <w:rPr>
          <w:rFonts w:ascii="Georgia" w:hAnsi="Georgia" w:cs="Calibri"/>
          <w:sz w:val="20"/>
          <w:szCs w:val="20"/>
        </w:rPr>
        <w:lastRenderedPageBreak/>
        <w:t xml:space="preserve">Bradford-Hill criteria to VITT following CHADOX1 NCOV- vaccine strongly supports a causal relationship. </w:t>
      </w:r>
    </w:p>
    <w:p w14:paraId="21F5B4CB" w14:textId="6A259859" w:rsidR="00D928D7" w:rsidRDefault="00D928D7" w:rsidP="00D928D7">
      <w:pPr>
        <w:spacing w:after="0" w:line="240" w:lineRule="auto"/>
        <w:jc w:val="both"/>
        <w:rPr>
          <w:rFonts w:ascii="Georgia" w:hAnsi="Georgia" w:cs="Calibri"/>
          <w:sz w:val="20"/>
          <w:szCs w:val="20"/>
        </w:rPr>
      </w:pPr>
    </w:p>
    <w:p w14:paraId="3F528EE9" w14:textId="431DF0E9" w:rsidR="00D928D7" w:rsidRDefault="00D928D7" w:rsidP="00D928D7">
      <w:pPr>
        <w:spacing w:after="0" w:line="240" w:lineRule="auto"/>
        <w:jc w:val="both"/>
        <w:rPr>
          <w:rFonts w:ascii="Georgia" w:hAnsi="Georgia" w:cs="Calibri"/>
          <w:b/>
          <w:bCs/>
          <w:sz w:val="20"/>
          <w:szCs w:val="20"/>
        </w:rPr>
      </w:pPr>
      <w:r>
        <w:rPr>
          <w:rFonts w:ascii="Georgia" w:hAnsi="Georgia" w:cs="Calibri"/>
          <w:b/>
          <w:bCs/>
          <w:sz w:val="20"/>
          <w:szCs w:val="20"/>
        </w:rPr>
        <w:t>References</w:t>
      </w:r>
    </w:p>
    <w:p w14:paraId="7F18B4EE" w14:textId="7550325A" w:rsidR="00D928D7" w:rsidRPr="00D928D7" w:rsidRDefault="00D928D7" w:rsidP="00D928D7">
      <w:pPr>
        <w:pStyle w:val="ListParagraph"/>
        <w:numPr>
          <w:ilvl w:val="0"/>
          <w:numId w:val="6"/>
        </w:numPr>
        <w:autoSpaceDE w:val="0"/>
        <w:autoSpaceDN w:val="0"/>
        <w:adjustRightInd w:val="0"/>
        <w:spacing w:after="0" w:line="240" w:lineRule="auto"/>
        <w:ind w:left="357" w:hanging="357"/>
        <w:jc w:val="both"/>
        <w:rPr>
          <w:rFonts w:ascii="Georgia" w:hAnsi="Georgia" w:cs="Calibri"/>
          <w:sz w:val="20"/>
          <w:szCs w:val="20"/>
        </w:rPr>
      </w:pPr>
      <w:r w:rsidRPr="00D928D7">
        <w:rPr>
          <w:rFonts w:ascii="Georgia" w:hAnsi="Georgia" w:cs="Calibri"/>
          <w:sz w:val="20"/>
          <w:szCs w:val="20"/>
        </w:rPr>
        <w:t xml:space="preserve">Pai MG, A; </w:t>
      </w:r>
      <w:proofErr w:type="spellStart"/>
      <w:r w:rsidRPr="00D928D7">
        <w:rPr>
          <w:rFonts w:ascii="Georgia" w:hAnsi="Georgia" w:cs="Calibri"/>
          <w:sz w:val="20"/>
          <w:szCs w:val="20"/>
        </w:rPr>
        <w:t>Ivers</w:t>
      </w:r>
      <w:proofErr w:type="spellEnd"/>
      <w:r w:rsidRPr="00D928D7">
        <w:rPr>
          <w:rFonts w:ascii="Georgia" w:hAnsi="Georgia" w:cs="Calibri"/>
          <w:sz w:val="20"/>
          <w:szCs w:val="20"/>
        </w:rPr>
        <w:t>, N; et al</w:t>
      </w:r>
      <w:r w:rsidRPr="00D928D7">
        <w:rPr>
          <w:rFonts w:ascii="Georgia" w:hAnsi="Georgia" w:cs="Calibri"/>
          <w:b/>
          <w:sz w:val="20"/>
          <w:szCs w:val="20"/>
        </w:rPr>
        <w:t>.</w:t>
      </w:r>
      <w:r w:rsidRPr="00D928D7">
        <w:rPr>
          <w:rFonts w:ascii="Georgia" w:hAnsi="Georgia" w:cs="Calibri"/>
          <w:sz w:val="20"/>
          <w:szCs w:val="20"/>
        </w:rPr>
        <w:t xml:space="preserve"> Vaccine-Induced Prothrombotic Immune Thrombocytopenia (VIPIT) Following AstraZeneca COVID-19 Vaccination. Science Table. Canada: COVID-19 Advisory for Ontario; 2021. </w:t>
      </w:r>
      <w:hyperlink r:id="rId11" w:history="1">
        <w:r w:rsidRPr="00D928D7">
          <w:rPr>
            <w:rStyle w:val="Hyperlink"/>
            <w:rFonts w:ascii="Georgia" w:hAnsi="Georgia" w:cs="Calibri"/>
            <w:sz w:val="20"/>
            <w:szCs w:val="20"/>
          </w:rPr>
          <w:t>https://covid19-sciencetable.ca/sciencebrief/vaccine-induced-prothrombotic-immune-thrombocytopenia-vipit-following-astrazeneca-covid-19-vaccination/</w:t>
        </w:r>
      </w:hyperlink>
      <w:r w:rsidRPr="00D928D7">
        <w:rPr>
          <w:rFonts w:ascii="Georgia" w:hAnsi="Georgia" w:cs="Calibri"/>
          <w:sz w:val="20"/>
          <w:szCs w:val="20"/>
        </w:rPr>
        <w:t xml:space="preserve"> </w:t>
      </w:r>
    </w:p>
    <w:p w14:paraId="20A89BF6" w14:textId="0AF86997" w:rsidR="00D928D7" w:rsidRPr="00D928D7" w:rsidRDefault="00D928D7" w:rsidP="00D928D7">
      <w:pPr>
        <w:pStyle w:val="ListParagraph"/>
        <w:numPr>
          <w:ilvl w:val="0"/>
          <w:numId w:val="6"/>
        </w:numPr>
        <w:autoSpaceDE w:val="0"/>
        <w:autoSpaceDN w:val="0"/>
        <w:adjustRightInd w:val="0"/>
        <w:spacing w:after="0" w:line="240" w:lineRule="auto"/>
        <w:ind w:left="357" w:hanging="357"/>
        <w:jc w:val="both"/>
        <w:rPr>
          <w:rFonts w:ascii="Georgia" w:hAnsi="Georgia" w:cs="Calibri"/>
          <w:sz w:val="20"/>
          <w:szCs w:val="20"/>
        </w:rPr>
      </w:pPr>
      <w:r w:rsidRPr="00D928D7">
        <w:rPr>
          <w:rFonts w:ascii="Georgia" w:hAnsi="Georgia" w:cs="Calibri"/>
          <w:sz w:val="20"/>
          <w:szCs w:val="20"/>
        </w:rPr>
        <w:t xml:space="preserve">Vogel G, </w:t>
      </w:r>
      <w:proofErr w:type="spellStart"/>
      <w:r w:rsidRPr="00D928D7">
        <w:rPr>
          <w:rFonts w:ascii="Georgia" w:hAnsi="Georgia" w:cs="Calibri"/>
          <w:sz w:val="20"/>
          <w:szCs w:val="20"/>
        </w:rPr>
        <w:t>Kupferschmidt</w:t>
      </w:r>
      <w:proofErr w:type="spellEnd"/>
      <w:r w:rsidRPr="00D928D7">
        <w:rPr>
          <w:rFonts w:ascii="Georgia" w:hAnsi="Georgia" w:cs="Calibri"/>
          <w:sz w:val="20"/>
          <w:szCs w:val="20"/>
        </w:rPr>
        <w:t xml:space="preserve"> K</w:t>
      </w:r>
      <w:r w:rsidRPr="00D928D7">
        <w:rPr>
          <w:rFonts w:ascii="Georgia" w:hAnsi="Georgia" w:cs="Calibri"/>
          <w:b/>
          <w:sz w:val="20"/>
          <w:szCs w:val="20"/>
        </w:rPr>
        <w:t xml:space="preserve">. </w:t>
      </w:r>
      <w:r w:rsidRPr="00D928D7">
        <w:rPr>
          <w:rFonts w:ascii="Georgia" w:hAnsi="Georgia" w:cs="Calibri"/>
          <w:sz w:val="20"/>
          <w:szCs w:val="20"/>
        </w:rPr>
        <w:t>Side effect worry grows for AstraZeneca vaccine. Science. 2021;372(6537):14.</w:t>
      </w:r>
    </w:p>
    <w:p w14:paraId="651C7B89" w14:textId="77777777" w:rsidR="00D928D7" w:rsidRPr="00D928D7" w:rsidRDefault="00D928D7" w:rsidP="00D928D7">
      <w:pPr>
        <w:pStyle w:val="ListParagraph"/>
        <w:numPr>
          <w:ilvl w:val="0"/>
          <w:numId w:val="6"/>
        </w:numPr>
        <w:autoSpaceDE w:val="0"/>
        <w:autoSpaceDN w:val="0"/>
        <w:adjustRightInd w:val="0"/>
        <w:spacing w:after="0" w:line="240" w:lineRule="auto"/>
        <w:jc w:val="both"/>
        <w:rPr>
          <w:rFonts w:ascii="Georgia" w:hAnsi="Georgia" w:cs="Calibri"/>
          <w:sz w:val="20"/>
          <w:szCs w:val="20"/>
        </w:rPr>
      </w:pPr>
      <w:r w:rsidRPr="00D928D7">
        <w:rPr>
          <w:rFonts w:ascii="Georgia" w:hAnsi="Georgia" w:cs="Calibri"/>
          <w:sz w:val="20"/>
          <w:szCs w:val="20"/>
        </w:rPr>
        <w:t>European Medicines Agency</w:t>
      </w:r>
      <w:r w:rsidRPr="00D928D7">
        <w:rPr>
          <w:rFonts w:ascii="Georgia" w:hAnsi="Georgia" w:cs="Calibri"/>
          <w:b/>
          <w:sz w:val="20"/>
          <w:szCs w:val="20"/>
        </w:rPr>
        <w:t>.</w:t>
      </w:r>
      <w:r w:rsidRPr="00D928D7">
        <w:rPr>
          <w:rFonts w:ascii="Georgia" w:hAnsi="Georgia" w:cs="Calibri"/>
          <w:sz w:val="20"/>
          <w:szCs w:val="20"/>
        </w:rPr>
        <w:t xml:space="preserve"> Signal assessment report on embolic and thrombotic events (SMQ) with COVID-19 Vaccine (ChAdOx1-S [recombinant]) – COVID-19 Vaccine AstraZeneca (Other viral vaccines). Pharmacovigilance Risk Assessment Committee (PRAC): European Medicines Agency; 2021. </w:t>
      </w:r>
      <w:hyperlink r:id="rId12" w:history="1">
        <w:r w:rsidRPr="00D928D7">
          <w:rPr>
            <w:rStyle w:val="Hyperlink"/>
            <w:rFonts w:ascii="Georgia" w:hAnsi="Georgia" w:cs="Calibri"/>
            <w:sz w:val="20"/>
            <w:szCs w:val="20"/>
          </w:rPr>
          <w:t>https://www.ema.europa.eu/en/documents/prac-recommendation/signal-assessment-report-embolic-thrombotic-events-smq-covid-19-vaccine-chadox1-s-recombinant-covid_en.pdf</w:t>
        </w:r>
      </w:hyperlink>
      <w:r w:rsidRPr="00D928D7">
        <w:rPr>
          <w:rFonts w:ascii="Georgia" w:hAnsi="Georgia" w:cs="Calibri"/>
          <w:sz w:val="20"/>
          <w:szCs w:val="20"/>
        </w:rPr>
        <w:t xml:space="preserve"> </w:t>
      </w:r>
    </w:p>
    <w:p w14:paraId="76F78B3C" w14:textId="43CBA92A" w:rsidR="00D928D7" w:rsidRPr="00D928D7" w:rsidRDefault="00D928D7" w:rsidP="00D928D7">
      <w:pPr>
        <w:pStyle w:val="ListParagraph"/>
        <w:numPr>
          <w:ilvl w:val="0"/>
          <w:numId w:val="6"/>
        </w:numPr>
        <w:autoSpaceDE w:val="0"/>
        <w:autoSpaceDN w:val="0"/>
        <w:adjustRightInd w:val="0"/>
        <w:spacing w:after="0" w:line="240" w:lineRule="auto"/>
        <w:ind w:left="357" w:hanging="357"/>
        <w:jc w:val="both"/>
        <w:rPr>
          <w:rFonts w:ascii="Georgia" w:hAnsi="Georgia" w:cs="Calibri"/>
          <w:sz w:val="20"/>
          <w:szCs w:val="20"/>
        </w:rPr>
      </w:pPr>
      <w:r w:rsidRPr="00D928D7">
        <w:rPr>
          <w:rFonts w:ascii="Georgia" w:hAnsi="Georgia" w:cs="Calibri"/>
          <w:sz w:val="20"/>
          <w:szCs w:val="20"/>
        </w:rPr>
        <w:t>European Medicines Agency</w:t>
      </w:r>
      <w:r w:rsidRPr="00D928D7">
        <w:rPr>
          <w:rFonts w:ascii="Georgia" w:hAnsi="Georgia" w:cs="Calibri"/>
          <w:b/>
          <w:sz w:val="20"/>
          <w:szCs w:val="20"/>
        </w:rPr>
        <w:t>.</w:t>
      </w:r>
      <w:r w:rsidRPr="00D928D7">
        <w:rPr>
          <w:rFonts w:ascii="Georgia" w:hAnsi="Georgia" w:cs="Calibri"/>
          <w:sz w:val="20"/>
          <w:szCs w:val="20"/>
        </w:rPr>
        <w:t xml:space="preserve"> AstraZeneca’s COVID-19 vaccine: EMA finds possible link to very rare cases of unusual blood clots with low blood platelets The Netherlands: European Medicines Agency; 2021. </w:t>
      </w:r>
      <w:hyperlink r:id="rId13" w:history="1">
        <w:r w:rsidRPr="00D928D7">
          <w:rPr>
            <w:rStyle w:val="Hyperlink"/>
            <w:rFonts w:ascii="Georgia" w:hAnsi="Georgia" w:cs="Calibri"/>
            <w:sz w:val="20"/>
            <w:szCs w:val="20"/>
            <w:lang w:val="en-GB"/>
          </w:rPr>
          <w:t>https://www.ema.europa.eu/en/news/astrazenecas-covid-19-vaccine-ema-finds-possible-link-very-rare-cases-unusual-blood-clots-low-blood</w:t>
        </w:r>
      </w:hyperlink>
    </w:p>
    <w:p w14:paraId="341662A2" w14:textId="77777777" w:rsidR="00D928D7" w:rsidRPr="00D928D7" w:rsidRDefault="00D928D7" w:rsidP="00D928D7">
      <w:pPr>
        <w:pStyle w:val="ListParagraph"/>
        <w:numPr>
          <w:ilvl w:val="0"/>
          <w:numId w:val="6"/>
        </w:numPr>
        <w:autoSpaceDE w:val="0"/>
        <w:autoSpaceDN w:val="0"/>
        <w:adjustRightInd w:val="0"/>
        <w:spacing w:after="0" w:line="240" w:lineRule="auto"/>
        <w:jc w:val="both"/>
        <w:rPr>
          <w:rFonts w:ascii="Georgia" w:hAnsi="Georgia" w:cs="Calibri"/>
          <w:sz w:val="20"/>
          <w:szCs w:val="20"/>
        </w:rPr>
      </w:pPr>
      <w:proofErr w:type="spellStart"/>
      <w:r w:rsidRPr="00D928D7">
        <w:rPr>
          <w:rFonts w:ascii="Georgia" w:hAnsi="Georgia" w:cs="Calibri"/>
          <w:sz w:val="20"/>
          <w:szCs w:val="20"/>
        </w:rPr>
        <w:t>Greinacher</w:t>
      </w:r>
      <w:proofErr w:type="spellEnd"/>
      <w:r w:rsidRPr="00D928D7">
        <w:rPr>
          <w:rFonts w:ascii="Georgia" w:hAnsi="Georgia" w:cs="Calibri"/>
          <w:sz w:val="20"/>
          <w:szCs w:val="20"/>
        </w:rPr>
        <w:t xml:space="preserve"> A, Thiele T, Warkentin TE, Weisser K, </w:t>
      </w:r>
      <w:proofErr w:type="spellStart"/>
      <w:r w:rsidRPr="00D928D7">
        <w:rPr>
          <w:rFonts w:ascii="Georgia" w:hAnsi="Georgia" w:cs="Calibri"/>
          <w:sz w:val="20"/>
          <w:szCs w:val="20"/>
        </w:rPr>
        <w:t>Kyrle</w:t>
      </w:r>
      <w:proofErr w:type="spellEnd"/>
      <w:r w:rsidRPr="00D928D7">
        <w:rPr>
          <w:rFonts w:ascii="Georgia" w:hAnsi="Georgia" w:cs="Calibri"/>
          <w:sz w:val="20"/>
          <w:szCs w:val="20"/>
        </w:rPr>
        <w:t xml:space="preserve"> PA, </w:t>
      </w:r>
      <w:proofErr w:type="spellStart"/>
      <w:r w:rsidRPr="00D928D7">
        <w:rPr>
          <w:rFonts w:ascii="Georgia" w:hAnsi="Georgia" w:cs="Calibri"/>
          <w:sz w:val="20"/>
          <w:szCs w:val="20"/>
        </w:rPr>
        <w:t>Eichinger</w:t>
      </w:r>
      <w:proofErr w:type="spellEnd"/>
      <w:r w:rsidRPr="00D928D7">
        <w:rPr>
          <w:rFonts w:ascii="Georgia" w:hAnsi="Georgia" w:cs="Calibri"/>
          <w:sz w:val="20"/>
          <w:szCs w:val="20"/>
        </w:rPr>
        <w:t xml:space="preserve"> S</w:t>
      </w:r>
      <w:r w:rsidRPr="00D928D7">
        <w:rPr>
          <w:rFonts w:ascii="Georgia" w:hAnsi="Georgia" w:cs="Calibri"/>
          <w:b/>
          <w:sz w:val="20"/>
          <w:szCs w:val="20"/>
        </w:rPr>
        <w:t xml:space="preserve">. </w:t>
      </w:r>
      <w:r w:rsidRPr="00D928D7">
        <w:rPr>
          <w:rFonts w:ascii="Georgia" w:hAnsi="Georgia" w:cs="Calibri"/>
          <w:sz w:val="20"/>
          <w:szCs w:val="20"/>
        </w:rPr>
        <w:t xml:space="preserve">Thrombotic Thrombocytopenia after ChAdOx1 nCov-19 Vaccination. N </w:t>
      </w:r>
      <w:proofErr w:type="spellStart"/>
      <w:r w:rsidRPr="00D928D7">
        <w:rPr>
          <w:rFonts w:ascii="Georgia" w:hAnsi="Georgia" w:cs="Calibri"/>
          <w:sz w:val="20"/>
          <w:szCs w:val="20"/>
        </w:rPr>
        <w:t>Engl</w:t>
      </w:r>
      <w:proofErr w:type="spellEnd"/>
      <w:r w:rsidRPr="00D928D7">
        <w:rPr>
          <w:rFonts w:ascii="Georgia" w:hAnsi="Georgia" w:cs="Calibri"/>
          <w:sz w:val="20"/>
          <w:szCs w:val="20"/>
        </w:rPr>
        <w:t xml:space="preserve"> J Med. 2021. DOI: 10.1056/NEJMoa2104840</w:t>
      </w:r>
    </w:p>
    <w:p w14:paraId="7C96AA39" w14:textId="77777777" w:rsidR="00D928D7" w:rsidRPr="00D928D7" w:rsidRDefault="00D928D7" w:rsidP="00D928D7">
      <w:pPr>
        <w:pStyle w:val="ListParagraph"/>
        <w:numPr>
          <w:ilvl w:val="0"/>
          <w:numId w:val="6"/>
        </w:numPr>
        <w:autoSpaceDE w:val="0"/>
        <w:autoSpaceDN w:val="0"/>
        <w:adjustRightInd w:val="0"/>
        <w:spacing w:after="0" w:line="240" w:lineRule="auto"/>
        <w:jc w:val="both"/>
        <w:rPr>
          <w:rFonts w:ascii="Georgia" w:hAnsi="Georgia" w:cs="Calibri"/>
          <w:sz w:val="20"/>
          <w:szCs w:val="20"/>
        </w:rPr>
      </w:pPr>
      <w:r w:rsidRPr="00D928D7">
        <w:rPr>
          <w:rFonts w:ascii="Georgia" w:hAnsi="Georgia" w:cs="Calibri"/>
          <w:sz w:val="20"/>
          <w:szCs w:val="20"/>
        </w:rPr>
        <w:t xml:space="preserve">Schultz NH, </w:t>
      </w:r>
      <w:proofErr w:type="spellStart"/>
      <w:r w:rsidRPr="00D928D7">
        <w:rPr>
          <w:rFonts w:ascii="Georgia" w:hAnsi="Georgia" w:cs="Calibri"/>
          <w:sz w:val="20"/>
          <w:szCs w:val="20"/>
        </w:rPr>
        <w:t>Sørvoll</w:t>
      </w:r>
      <w:proofErr w:type="spellEnd"/>
      <w:r w:rsidRPr="00D928D7">
        <w:rPr>
          <w:rFonts w:ascii="Georgia" w:hAnsi="Georgia" w:cs="Calibri"/>
          <w:sz w:val="20"/>
          <w:szCs w:val="20"/>
        </w:rPr>
        <w:t xml:space="preserve"> IH, Michelsen AE, </w:t>
      </w:r>
      <w:proofErr w:type="spellStart"/>
      <w:r w:rsidRPr="00D928D7">
        <w:rPr>
          <w:rFonts w:ascii="Georgia" w:hAnsi="Georgia" w:cs="Calibri"/>
          <w:sz w:val="20"/>
          <w:szCs w:val="20"/>
        </w:rPr>
        <w:t>Munthe</w:t>
      </w:r>
      <w:proofErr w:type="spellEnd"/>
      <w:r w:rsidRPr="00D928D7">
        <w:rPr>
          <w:rFonts w:ascii="Georgia" w:hAnsi="Georgia" w:cs="Calibri"/>
          <w:sz w:val="20"/>
          <w:szCs w:val="20"/>
        </w:rPr>
        <w:t xml:space="preserve"> LA, Lund-Johansen F, Ahlen MT, et al.</w:t>
      </w:r>
      <w:r w:rsidRPr="00D928D7">
        <w:rPr>
          <w:rFonts w:ascii="Georgia" w:hAnsi="Georgia" w:cs="Calibri"/>
          <w:b/>
          <w:sz w:val="20"/>
          <w:szCs w:val="20"/>
        </w:rPr>
        <w:t xml:space="preserve"> </w:t>
      </w:r>
      <w:r w:rsidRPr="00D928D7">
        <w:rPr>
          <w:rFonts w:ascii="Georgia" w:hAnsi="Georgia" w:cs="Calibri"/>
          <w:sz w:val="20"/>
          <w:szCs w:val="20"/>
        </w:rPr>
        <w:t xml:space="preserve">Thrombosis and Thrombocytopenia after ChAdOx1 nCoV-19 Vaccination. N </w:t>
      </w:r>
      <w:proofErr w:type="spellStart"/>
      <w:r w:rsidRPr="00D928D7">
        <w:rPr>
          <w:rFonts w:ascii="Georgia" w:hAnsi="Georgia" w:cs="Calibri"/>
          <w:sz w:val="20"/>
          <w:szCs w:val="20"/>
        </w:rPr>
        <w:t>Engl</w:t>
      </w:r>
      <w:proofErr w:type="spellEnd"/>
      <w:r w:rsidRPr="00D928D7">
        <w:rPr>
          <w:rFonts w:ascii="Georgia" w:hAnsi="Georgia" w:cs="Calibri"/>
          <w:sz w:val="20"/>
          <w:szCs w:val="20"/>
        </w:rPr>
        <w:t xml:space="preserve"> J Med. 2021. DOI: </w:t>
      </w:r>
      <w:r w:rsidRPr="00D928D7">
        <w:rPr>
          <w:rFonts w:ascii="Georgia" w:hAnsi="Georgia" w:cs="Calibri"/>
          <w:sz w:val="20"/>
          <w:szCs w:val="20"/>
          <w:lang w:val="en-US"/>
        </w:rPr>
        <w:t xml:space="preserve">10.1056/NEJMoa2104882 </w:t>
      </w:r>
    </w:p>
    <w:p w14:paraId="61B7D100" w14:textId="77777777" w:rsidR="00D928D7" w:rsidRPr="00D928D7" w:rsidRDefault="00D928D7" w:rsidP="00D928D7">
      <w:pPr>
        <w:pStyle w:val="ListParagraph"/>
        <w:numPr>
          <w:ilvl w:val="0"/>
          <w:numId w:val="6"/>
        </w:numPr>
        <w:autoSpaceDE w:val="0"/>
        <w:autoSpaceDN w:val="0"/>
        <w:adjustRightInd w:val="0"/>
        <w:spacing w:after="0" w:line="240" w:lineRule="auto"/>
        <w:jc w:val="both"/>
        <w:rPr>
          <w:rFonts w:ascii="Georgia" w:hAnsi="Georgia" w:cs="Calibri"/>
          <w:sz w:val="20"/>
          <w:szCs w:val="20"/>
        </w:rPr>
      </w:pPr>
      <w:r w:rsidRPr="00D928D7">
        <w:rPr>
          <w:rFonts w:ascii="Georgia" w:hAnsi="Georgia" w:cs="Calibri"/>
          <w:sz w:val="20"/>
          <w:szCs w:val="20"/>
        </w:rPr>
        <w:t>Hill AB</w:t>
      </w:r>
      <w:r w:rsidRPr="00D928D7">
        <w:rPr>
          <w:rFonts w:ascii="Georgia" w:hAnsi="Georgia" w:cs="Calibri"/>
          <w:b/>
          <w:sz w:val="20"/>
          <w:szCs w:val="20"/>
        </w:rPr>
        <w:t xml:space="preserve">. </w:t>
      </w:r>
      <w:r w:rsidRPr="00D928D7">
        <w:rPr>
          <w:rFonts w:ascii="Georgia" w:hAnsi="Georgia" w:cs="Calibri"/>
          <w:sz w:val="20"/>
          <w:szCs w:val="20"/>
        </w:rPr>
        <w:t>The environment and disease: association or causation? Proc R Soc Med. 1965;58(5):295-300.</w:t>
      </w:r>
    </w:p>
    <w:p w14:paraId="2B39F0FB" w14:textId="77777777" w:rsidR="00D928D7" w:rsidRPr="00D928D7" w:rsidRDefault="00D928D7" w:rsidP="00D928D7">
      <w:pPr>
        <w:pStyle w:val="ListParagraph"/>
        <w:numPr>
          <w:ilvl w:val="0"/>
          <w:numId w:val="6"/>
        </w:numPr>
        <w:autoSpaceDE w:val="0"/>
        <w:autoSpaceDN w:val="0"/>
        <w:adjustRightInd w:val="0"/>
        <w:spacing w:after="0" w:line="240" w:lineRule="auto"/>
        <w:jc w:val="both"/>
        <w:rPr>
          <w:rFonts w:ascii="Georgia" w:hAnsi="Georgia" w:cs="Calibri"/>
          <w:sz w:val="20"/>
          <w:szCs w:val="20"/>
        </w:rPr>
      </w:pPr>
      <w:r w:rsidRPr="00D928D7">
        <w:rPr>
          <w:rFonts w:ascii="Georgia" w:hAnsi="Georgia" w:cs="Calibri"/>
          <w:sz w:val="20"/>
          <w:szCs w:val="20"/>
        </w:rPr>
        <w:t>WHO</w:t>
      </w:r>
      <w:r w:rsidRPr="00D928D7">
        <w:rPr>
          <w:rFonts w:ascii="Georgia" w:hAnsi="Georgia" w:cs="Calibri"/>
          <w:b/>
          <w:sz w:val="20"/>
          <w:szCs w:val="20"/>
        </w:rPr>
        <w:t>.</w:t>
      </w:r>
      <w:r w:rsidRPr="00D928D7">
        <w:rPr>
          <w:rFonts w:ascii="Georgia" w:hAnsi="Georgia" w:cs="Calibri"/>
          <w:sz w:val="20"/>
          <w:szCs w:val="20"/>
        </w:rPr>
        <w:t xml:space="preserve"> Causality assessment of adverse events following immunization. Geneva: WHO; 2001.</w:t>
      </w:r>
      <w:r w:rsidRPr="00D928D7">
        <w:rPr>
          <w:rFonts w:ascii="Georgia" w:hAnsi="Georgia"/>
          <w:sz w:val="20"/>
          <w:szCs w:val="20"/>
        </w:rPr>
        <w:t xml:space="preserve"> </w:t>
      </w:r>
      <w:hyperlink r:id="rId14" w:history="1">
        <w:r w:rsidRPr="00D928D7">
          <w:rPr>
            <w:rStyle w:val="Hyperlink"/>
            <w:rFonts w:ascii="Georgia" w:hAnsi="Georgia" w:cs="Calibri"/>
            <w:sz w:val="20"/>
            <w:szCs w:val="20"/>
          </w:rPr>
          <w:t>https://www.who.int/vaccine_safety/causality/en/</w:t>
        </w:r>
      </w:hyperlink>
    </w:p>
    <w:p w14:paraId="7725987B" w14:textId="2A3E959B" w:rsidR="00D928D7" w:rsidRPr="00D928D7" w:rsidRDefault="00D928D7" w:rsidP="00D928D7">
      <w:pPr>
        <w:pStyle w:val="ListParagraph"/>
        <w:numPr>
          <w:ilvl w:val="0"/>
          <w:numId w:val="6"/>
        </w:numPr>
        <w:autoSpaceDE w:val="0"/>
        <w:autoSpaceDN w:val="0"/>
        <w:adjustRightInd w:val="0"/>
        <w:spacing w:after="0" w:line="240" w:lineRule="auto"/>
        <w:ind w:left="357" w:hanging="357"/>
        <w:jc w:val="both"/>
        <w:rPr>
          <w:rFonts w:ascii="Georgia" w:hAnsi="Georgia" w:cs="Calibri"/>
          <w:sz w:val="20"/>
          <w:szCs w:val="20"/>
        </w:rPr>
      </w:pPr>
      <w:proofErr w:type="spellStart"/>
      <w:r w:rsidRPr="00D928D7">
        <w:rPr>
          <w:rFonts w:ascii="Georgia" w:hAnsi="Georgia" w:cs="Calibri"/>
          <w:sz w:val="20"/>
          <w:szCs w:val="20"/>
        </w:rPr>
        <w:t>Bousser</w:t>
      </w:r>
      <w:proofErr w:type="spellEnd"/>
      <w:r w:rsidRPr="00D928D7">
        <w:rPr>
          <w:rFonts w:ascii="Georgia" w:hAnsi="Georgia" w:cs="Calibri"/>
          <w:sz w:val="20"/>
          <w:szCs w:val="20"/>
        </w:rPr>
        <w:t xml:space="preserve"> MG</w:t>
      </w:r>
      <w:r w:rsidRPr="00D928D7">
        <w:rPr>
          <w:rFonts w:ascii="Georgia" w:hAnsi="Georgia" w:cs="Calibri"/>
          <w:b/>
          <w:sz w:val="20"/>
          <w:szCs w:val="20"/>
        </w:rPr>
        <w:t xml:space="preserve">. </w:t>
      </w:r>
      <w:r w:rsidRPr="00D928D7">
        <w:rPr>
          <w:rFonts w:ascii="Georgia" w:hAnsi="Georgia" w:cs="Calibri"/>
          <w:sz w:val="20"/>
          <w:szCs w:val="20"/>
        </w:rPr>
        <w:t>Cerebral venous thrombosis: diagnosis and management. J Neurol. 2000;247(4):252-8.</w:t>
      </w:r>
    </w:p>
    <w:p w14:paraId="707ACEFE" w14:textId="77777777" w:rsidR="00D928D7" w:rsidRPr="00D928D7" w:rsidRDefault="00D928D7" w:rsidP="00D928D7">
      <w:pPr>
        <w:pStyle w:val="ListParagraph"/>
        <w:numPr>
          <w:ilvl w:val="0"/>
          <w:numId w:val="6"/>
        </w:numPr>
        <w:autoSpaceDE w:val="0"/>
        <w:autoSpaceDN w:val="0"/>
        <w:adjustRightInd w:val="0"/>
        <w:spacing w:after="0" w:line="240" w:lineRule="auto"/>
        <w:jc w:val="both"/>
        <w:rPr>
          <w:rFonts w:ascii="Georgia" w:hAnsi="Georgia" w:cs="Calibri"/>
          <w:sz w:val="20"/>
          <w:szCs w:val="20"/>
        </w:rPr>
      </w:pPr>
      <w:proofErr w:type="spellStart"/>
      <w:r w:rsidRPr="00D928D7">
        <w:rPr>
          <w:rFonts w:ascii="Georgia" w:hAnsi="Georgia" w:cs="Calibri"/>
          <w:sz w:val="20"/>
          <w:szCs w:val="20"/>
        </w:rPr>
        <w:t>Saposnik</w:t>
      </w:r>
      <w:proofErr w:type="spellEnd"/>
      <w:r w:rsidRPr="00D928D7">
        <w:rPr>
          <w:rFonts w:ascii="Georgia" w:hAnsi="Georgia" w:cs="Calibri"/>
          <w:sz w:val="20"/>
          <w:szCs w:val="20"/>
        </w:rPr>
        <w:t xml:space="preserve"> G, </w:t>
      </w:r>
      <w:proofErr w:type="spellStart"/>
      <w:r w:rsidRPr="00D928D7">
        <w:rPr>
          <w:rFonts w:ascii="Georgia" w:hAnsi="Georgia" w:cs="Calibri"/>
          <w:sz w:val="20"/>
          <w:szCs w:val="20"/>
        </w:rPr>
        <w:t>Barinagarrementeria</w:t>
      </w:r>
      <w:proofErr w:type="spellEnd"/>
      <w:r w:rsidRPr="00D928D7">
        <w:rPr>
          <w:rFonts w:ascii="Georgia" w:hAnsi="Georgia" w:cs="Calibri"/>
          <w:sz w:val="20"/>
          <w:szCs w:val="20"/>
        </w:rPr>
        <w:t xml:space="preserve"> F, Brown RD, Jr., Bushnell CD, </w:t>
      </w:r>
      <w:proofErr w:type="spellStart"/>
      <w:r w:rsidRPr="00D928D7">
        <w:rPr>
          <w:rFonts w:ascii="Georgia" w:hAnsi="Georgia" w:cs="Calibri"/>
          <w:sz w:val="20"/>
          <w:szCs w:val="20"/>
        </w:rPr>
        <w:t>Cucchiara</w:t>
      </w:r>
      <w:proofErr w:type="spellEnd"/>
      <w:r w:rsidRPr="00D928D7">
        <w:rPr>
          <w:rFonts w:ascii="Georgia" w:hAnsi="Georgia" w:cs="Calibri"/>
          <w:sz w:val="20"/>
          <w:szCs w:val="20"/>
        </w:rPr>
        <w:t xml:space="preserve"> B, Cushman M, et al.</w:t>
      </w:r>
      <w:r w:rsidRPr="00D928D7">
        <w:rPr>
          <w:rFonts w:ascii="Georgia" w:hAnsi="Georgia" w:cs="Calibri"/>
          <w:b/>
          <w:sz w:val="20"/>
          <w:szCs w:val="20"/>
        </w:rPr>
        <w:t xml:space="preserve"> </w:t>
      </w:r>
      <w:r w:rsidRPr="00D928D7">
        <w:rPr>
          <w:rFonts w:ascii="Georgia" w:hAnsi="Georgia" w:cs="Calibri"/>
          <w:sz w:val="20"/>
          <w:szCs w:val="20"/>
        </w:rPr>
        <w:t>Diagnosis and management of cerebral venous thrombosis: a statement for healthcare professionals from the American Heart Association/American Stroke Association. Stroke. 2011;42(4):1158-92.</w:t>
      </w:r>
    </w:p>
    <w:p w14:paraId="696D7108" w14:textId="77777777" w:rsidR="00D928D7" w:rsidRPr="00D928D7" w:rsidRDefault="00D928D7" w:rsidP="00D928D7">
      <w:pPr>
        <w:pStyle w:val="ListParagraph"/>
        <w:numPr>
          <w:ilvl w:val="0"/>
          <w:numId w:val="6"/>
        </w:numPr>
        <w:autoSpaceDE w:val="0"/>
        <w:autoSpaceDN w:val="0"/>
        <w:adjustRightInd w:val="0"/>
        <w:spacing w:after="0" w:line="240" w:lineRule="auto"/>
        <w:jc w:val="both"/>
        <w:rPr>
          <w:rFonts w:ascii="Georgia" w:hAnsi="Georgia" w:cs="Calibri"/>
          <w:sz w:val="20"/>
          <w:szCs w:val="20"/>
        </w:rPr>
      </w:pPr>
      <w:r w:rsidRPr="00D928D7">
        <w:rPr>
          <w:rFonts w:ascii="Georgia" w:hAnsi="Georgia" w:cs="Calibri"/>
          <w:sz w:val="20"/>
          <w:szCs w:val="20"/>
        </w:rPr>
        <w:t>Andreas G, Thomas T, Theodore EW, Karin W, Paul K, Sabine E</w:t>
      </w:r>
      <w:r w:rsidRPr="00D928D7">
        <w:rPr>
          <w:rFonts w:ascii="Georgia" w:hAnsi="Georgia" w:cs="Calibri"/>
          <w:b/>
          <w:sz w:val="20"/>
          <w:szCs w:val="20"/>
        </w:rPr>
        <w:t xml:space="preserve">. </w:t>
      </w:r>
      <w:r w:rsidRPr="00D928D7">
        <w:rPr>
          <w:rFonts w:ascii="Georgia" w:hAnsi="Georgia" w:cs="Calibri"/>
          <w:sz w:val="20"/>
          <w:szCs w:val="20"/>
        </w:rPr>
        <w:t xml:space="preserve">A Prothrombotic Thrombocytopenic Disorder Resembling Heparin-Induced </w:t>
      </w:r>
      <w:r w:rsidRPr="00D928D7">
        <w:rPr>
          <w:rFonts w:ascii="Georgia" w:hAnsi="Georgia" w:cs="Calibri"/>
          <w:sz w:val="20"/>
          <w:szCs w:val="20"/>
        </w:rPr>
        <w:t>Thrombocytopenia Following Coronavirus-19 Vaccination. Research Square. 2021.</w:t>
      </w:r>
    </w:p>
    <w:p w14:paraId="4B99337B" w14:textId="77777777" w:rsidR="00D928D7" w:rsidRPr="00D928D7" w:rsidRDefault="00D928D7" w:rsidP="00D928D7">
      <w:pPr>
        <w:pStyle w:val="ListParagraph"/>
        <w:numPr>
          <w:ilvl w:val="0"/>
          <w:numId w:val="6"/>
        </w:numPr>
        <w:autoSpaceDE w:val="0"/>
        <w:autoSpaceDN w:val="0"/>
        <w:adjustRightInd w:val="0"/>
        <w:spacing w:after="0" w:line="240" w:lineRule="auto"/>
        <w:jc w:val="both"/>
        <w:rPr>
          <w:rFonts w:ascii="Georgia" w:hAnsi="Georgia" w:cs="Calibri"/>
          <w:sz w:val="20"/>
          <w:szCs w:val="20"/>
        </w:rPr>
      </w:pPr>
      <w:r w:rsidRPr="00D928D7">
        <w:rPr>
          <w:rFonts w:ascii="Georgia" w:hAnsi="Georgia" w:cs="Calibri"/>
          <w:sz w:val="20"/>
          <w:szCs w:val="20"/>
        </w:rPr>
        <w:t>Chapin-</w:t>
      </w:r>
      <w:proofErr w:type="spellStart"/>
      <w:r w:rsidRPr="00D928D7">
        <w:rPr>
          <w:rFonts w:ascii="Georgia" w:hAnsi="Georgia" w:cs="Calibri"/>
          <w:sz w:val="20"/>
          <w:szCs w:val="20"/>
        </w:rPr>
        <w:t>Bardales</w:t>
      </w:r>
      <w:proofErr w:type="spellEnd"/>
      <w:r w:rsidRPr="00D928D7">
        <w:rPr>
          <w:rFonts w:ascii="Georgia" w:hAnsi="Georgia" w:cs="Calibri"/>
          <w:sz w:val="20"/>
          <w:szCs w:val="20"/>
        </w:rPr>
        <w:t xml:space="preserve"> J, Gee J, Myers T</w:t>
      </w:r>
      <w:r w:rsidRPr="00D928D7">
        <w:rPr>
          <w:rFonts w:ascii="Georgia" w:hAnsi="Georgia" w:cs="Calibri"/>
          <w:b/>
          <w:sz w:val="20"/>
          <w:szCs w:val="20"/>
        </w:rPr>
        <w:t xml:space="preserve">. </w:t>
      </w:r>
      <w:r w:rsidRPr="00D928D7">
        <w:rPr>
          <w:rFonts w:ascii="Georgia" w:hAnsi="Georgia" w:cs="Calibri"/>
          <w:sz w:val="20"/>
          <w:szCs w:val="20"/>
        </w:rPr>
        <w:t>Reactogenicity Following Receipt of mRNA-Based COVID-19 Vaccines. JAMA. 2021.</w:t>
      </w:r>
    </w:p>
    <w:p w14:paraId="035C048A" w14:textId="77777777" w:rsidR="00D928D7" w:rsidRPr="00D928D7" w:rsidRDefault="00D928D7" w:rsidP="00D928D7">
      <w:pPr>
        <w:pStyle w:val="ListParagraph"/>
        <w:numPr>
          <w:ilvl w:val="0"/>
          <w:numId w:val="6"/>
        </w:numPr>
        <w:autoSpaceDE w:val="0"/>
        <w:autoSpaceDN w:val="0"/>
        <w:adjustRightInd w:val="0"/>
        <w:spacing w:after="0" w:line="240" w:lineRule="auto"/>
        <w:jc w:val="both"/>
        <w:rPr>
          <w:rFonts w:ascii="Georgia" w:hAnsi="Georgia" w:cs="Calibri"/>
          <w:sz w:val="20"/>
          <w:szCs w:val="20"/>
        </w:rPr>
      </w:pPr>
      <w:r w:rsidRPr="00D928D7">
        <w:rPr>
          <w:rFonts w:ascii="Georgia" w:hAnsi="Georgia" w:cs="Calibri"/>
          <w:sz w:val="20"/>
          <w:szCs w:val="20"/>
        </w:rPr>
        <w:t xml:space="preserve">Stone D, Liu Y, </w:t>
      </w:r>
      <w:proofErr w:type="spellStart"/>
      <w:r w:rsidRPr="00D928D7">
        <w:rPr>
          <w:rFonts w:ascii="Georgia" w:hAnsi="Georgia" w:cs="Calibri"/>
          <w:sz w:val="20"/>
          <w:szCs w:val="20"/>
        </w:rPr>
        <w:t>Shayakhmetov</w:t>
      </w:r>
      <w:proofErr w:type="spellEnd"/>
      <w:r w:rsidRPr="00D928D7">
        <w:rPr>
          <w:rFonts w:ascii="Georgia" w:hAnsi="Georgia" w:cs="Calibri"/>
          <w:sz w:val="20"/>
          <w:szCs w:val="20"/>
        </w:rPr>
        <w:t xml:space="preserve"> D, Li ZY, Ni S, Lieber A</w:t>
      </w:r>
      <w:r w:rsidRPr="00D928D7">
        <w:rPr>
          <w:rFonts w:ascii="Georgia" w:hAnsi="Georgia" w:cs="Calibri"/>
          <w:b/>
          <w:sz w:val="20"/>
          <w:szCs w:val="20"/>
        </w:rPr>
        <w:t xml:space="preserve">. </w:t>
      </w:r>
      <w:r w:rsidRPr="00D928D7">
        <w:rPr>
          <w:rFonts w:ascii="Georgia" w:hAnsi="Georgia" w:cs="Calibri"/>
          <w:sz w:val="20"/>
          <w:szCs w:val="20"/>
        </w:rPr>
        <w:t xml:space="preserve">Adenovirus-platelet interaction in blood causes virus sequestration to the reticuloendothelial system of the liver. J </w:t>
      </w:r>
      <w:proofErr w:type="spellStart"/>
      <w:r w:rsidRPr="00D928D7">
        <w:rPr>
          <w:rFonts w:ascii="Georgia" w:hAnsi="Georgia" w:cs="Calibri"/>
          <w:sz w:val="20"/>
          <w:szCs w:val="20"/>
        </w:rPr>
        <w:t>Virol</w:t>
      </w:r>
      <w:proofErr w:type="spellEnd"/>
      <w:r w:rsidRPr="00D928D7">
        <w:rPr>
          <w:rFonts w:ascii="Georgia" w:hAnsi="Georgia" w:cs="Calibri"/>
          <w:sz w:val="20"/>
          <w:szCs w:val="20"/>
        </w:rPr>
        <w:t>. 2007;81(9):4866-71.</w:t>
      </w:r>
    </w:p>
    <w:p w14:paraId="0C94BA7F" w14:textId="77777777" w:rsidR="00D928D7" w:rsidRPr="00D928D7" w:rsidRDefault="00D928D7" w:rsidP="00D928D7">
      <w:pPr>
        <w:pStyle w:val="ListParagraph"/>
        <w:numPr>
          <w:ilvl w:val="0"/>
          <w:numId w:val="6"/>
        </w:numPr>
        <w:autoSpaceDE w:val="0"/>
        <w:autoSpaceDN w:val="0"/>
        <w:adjustRightInd w:val="0"/>
        <w:spacing w:after="0" w:line="240" w:lineRule="auto"/>
        <w:jc w:val="both"/>
        <w:rPr>
          <w:rFonts w:ascii="Georgia" w:hAnsi="Georgia" w:cs="Calibri"/>
          <w:sz w:val="20"/>
          <w:szCs w:val="20"/>
        </w:rPr>
      </w:pPr>
      <w:r w:rsidRPr="00D928D7">
        <w:rPr>
          <w:rFonts w:ascii="Georgia" w:hAnsi="Georgia" w:cs="Calibri"/>
          <w:sz w:val="20"/>
          <w:szCs w:val="20"/>
        </w:rPr>
        <w:t xml:space="preserve">Othman M, Labelle A, </w:t>
      </w:r>
      <w:proofErr w:type="spellStart"/>
      <w:r w:rsidRPr="00D928D7">
        <w:rPr>
          <w:rFonts w:ascii="Georgia" w:hAnsi="Georgia" w:cs="Calibri"/>
          <w:sz w:val="20"/>
          <w:szCs w:val="20"/>
        </w:rPr>
        <w:t>Mazzetti</w:t>
      </w:r>
      <w:proofErr w:type="spellEnd"/>
      <w:r w:rsidRPr="00D928D7">
        <w:rPr>
          <w:rFonts w:ascii="Georgia" w:hAnsi="Georgia" w:cs="Calibri"/>
          <w:sz w:val="20"/>
          <w:szCs w:val="20"/>
        </w:rPr>
        <w:t xml:space="preserve"> I, </w:t>
      </w:r>
      <w:proofErr w:type="spellStart"/>
      <w:r w:rsidRPr="00D928D7">
        <w:rPr>
          <w:rFonts w:ascii="Georgia" w:hAnsi="Georgia" w:cs="Calibri"/>
          <w:sz w:val="20"/>
          <w:szCs w:val="20"/>
        </w:rPr>
        <w:t>Elbatarny</w:t>
      </w:r>
      <w:proofErr w:type="spellEnd"/>
      <w:r w:rsidRPr="00D928D7">
        <w:rPr>
          <w:rFonts w:ascii="Georgia" w:hAnsi="Georgia" w:cs="Calibri"/>
          <w:sz w:val="20"/>
          <w:szCs w:val="20"/>
        </w:rPr>
        <w:t xml:space="preserve"> HS, </w:t>
      </w:r>
      <w:proofErr w:type="spellStart"/>
      <w:r w:rsidRPr="00D928D7">
        <w:rPr>
          <w:rFonts w:ascii="Georgia" w:hAnsi="Georgia" w:cs="Calibri"/>
          <w:sz w:val="20"/>
          <w:szCs w:val="20"/>
        </w:rPr>
        <w:t>Lillicrap</w:t>
      </w:r>
      <w:proofErr w:type="spellEnd"/>
      <w:r w:rsidRPr="00D928D7">
        <w:rPr>
          <w:rFonts w:ascii="Georgia" w:hAnsi="Georgia" w:cs="Calibri"/>
          <w:sz w:val="20"/>
          <w:szCs w:val="20"/>
        </w:rPr>
        <w:t xml:space="preserve"> D</w:t>
      </w:r>
      <w:r w:rsidRPr="00D928D7">
        <w:rPr>
          <w:rFonts w:ascii="Georgia" w:hAnsi="Georgia" w:cs="Calibri"/>
          <w:b/>
          <w:sz w:val="20"/>
          <w:szCs w:val="20"/>
        </w:rPr>
        <w:t xml:space="preserve">. </w:t>
      </w:r>
      <w:r w:rsidRPr="00D928D7">
        <w:rPr>
          <w:rFonts w:ascii="Georgia" w:hAnsi="Georgia" w:cs="Calibri"/>
          <w:sz w:val="20"/>
          <w:szCs w:val="20"/>
        </w:rPr>
        <w:t>Adenovirus-induced thrombocytopenia: the role of von Willebrand factor and P-selectin in mediating accelerated platelet clearance. Blood. 2007;109(7):2832-9.</w:t>
      </w:r>
    </w:p>
    <w:p w14:paraId="3007838D" w14:textId="77777777" w:rsidR="00D928D7" w:rsidRPr="00D928D7" w:rsidRDefault="00D928D7" w:rsidP="00D928D7">
      <w:pPr>
        <w:pStyle w:val="ListParagraph"/>
        <w:numPr>
          <w:ilvl w:val="0"/>
          <w:numId w:val="6"/>
        </w:numPr>
        <w:autoSpaceDE w:val="0"/>
        <w:autoSpaceDN w:val="0"/>
        <w:adjustRightInd w:val="0"/>
        <w:spacing w:after="0" w:line="240" w:lineRule="auto"/>
        <w:jc w:val="both"/>
        <w:rPr>
          <w:rFonts w:ascii="Georgia" w:hAnsi="Georgia" w:cs="Calibri"/>
          <w:sz w:val="20"/>
          <w:szCs w:val="20"/>
        </w:rPr>
      </w:pPr>
      <w:r w:rsidRPr="00D928D7">
        <w:rPr>
          <w:rFonts w:ascii="Georgia" w:hAnsi="Georgia" w:cs="Calibri"/>
          <w:sz w:val="20"/>
          <w:szCs w:val="20"/>
        </w:rPr>
        <w:t xml:space="preserve">Rasheed MA, </w:t>
      </w:r>
      <w:proofErr w:type="spellStart"/>
      <w:r w:rsidRPr="00D928D7">
        <w:rPr>
          <w:rFonts w:ascii="Georgia" w:hAnsi="Georgia" w:cs="Calibri"/>
          <w:sz w:val="20"/>
          <w:szCs w:val="20"/>
        </w:rPr>
        <w:t>Alsaud</w:t>
      </w:r>
      <w:proofErr w:type="spellEnd"/>
      <w:r w:rsidRPr="00D928D7">
        <w:rPr>
          <w:rFonts w:ascii="Georgia" w:hAnsi="Georgia" w:cs="Calibri"/>
          <w:sz w:val="20"/>
          <w:szCs w:val="20"/>
        </w:rPr>
        <w:t xml:space="preserve"> AE, Razzaq S, </w:t>
      </w:r>
      <w:proofErr w:type="spellStart"/>
      <w:r w:rsidRPr="00D928D7">
        <w:rPr>
          <w:rFonts w:ascii="Georgia" w:hAnsi="Georgia" w:cs="Calibri"/>
          <w:sz w:val="20"/>
          <w:szCs w:val="20"/>
        </w:rPr>
        <w:t>Fadul</w:t>
      </w:r>
      <w:proofErr w:type="spellEnd"/>
      <w:r w:rsidRPr="00D928D7">
        <w:rPr>
          <w:rFonts w:ascii="Georgia" w:hAnsi="Georgia" w:cs="Calibri"/>
          <w:sz w:val="20"/>
          <w:szCs w:val="20"/>
        </w:rPr>
        <w:t xml:space="preserve"> A, Yassin MA</w:t>
      </w:r>
      <w:r w:rsidRPr="00D928D7">
        <w:rPr>
          <w:rFonts w:ascii="Georgia" w:hAnsi="Georgia" w:cs="Calibri"/>
          <w:b/>
          <w:sz w:val="20"/>
          <w:szCs w:val="20"/>
        </w:rPr>
        <w:t xml:space="preserve">. </w:t>
      </w:r>
      <w:r w:rsidRPr="00D928D7">
        <w:rPr>
          <w:rFonts w:ascii="Georgia" w:hAnsi="Georgia" w:cs="Calibri"/>
          <w:sz w:val="20"/>
          <w:szCs w:val="20"/>
        </w:rPr>
        <w:t>Cerebral Venous Thrombosis in a Patient with Immune Thrombocytopenia, an Apparent Paradox. Case Rep Oncol. 2020;13(2):588-94.</w:t>
      </w:r>
    </w:p>
    <w:p w14:paraId="518C3976" w14:textId="77777777" w:rsidR="00D928D7" w:rsidRPr="00D928D7" w:rsidRDefault="00D928D7" w:rsidP="00D928D7">
      <w:pPr>
        <w:pStyle w:val="ListParagraph"/>
        <w:numPr>
          <w:ilvl w:val="0"/>
          <w:numId w:val="6"/>
        </w:numPr>
        <w:autoSpaceDE w:val="0"/>
        <w:autoSpaceDN w:val="0"/>
        <w:adjustRightInd w:val="0"/>
        <w:spacing w:after="0" w:line="240" w:lineRule="auto"/>
        <w:jc w:val="both"/>
        <w:rPr>
          <w:rFonts w:ascii="Georgia" w:hAnsi="Georgia" w:cs="Calibri"/>
          <w:sz w:val="20"/>
          <w:szCs w:val="20"/>
        </w:rPr>
      </w:pPr>
      <w:r w:rsidRPr="00D928D7">
        <w:rPr>
          <w:rFonts w:ascii="Georgia" w:hAnsi="Georgia" w:cs="Calibri"/>
          <w:sz w:val="20"/>
          <w:szCs w:val="20"/>
        </w:rPr>
        <w:t xml:space="preserve">De </w:t>
      </w:r>
      <w:proofErr w:type="spellStart"/>
      <w:r w:rsidRPr="00D928D7">
        <w:rPr>
          <w:rFonts w:ascii="Georgia" w:hAnsi="Georgia" w:cs="Calibri"/>
          <w:sz w:val="20"/>
          <w:szCs w:val="20"/>
        </w:rPr>
        <w:t>Santis</w:t>
      </w:r>
      <w:proofErr w:type="spellEnd"/>
      <w:r w:rsidRPr="00D928D7">
        <w:rPr>
          <w:rFonts w:ascii="Georgia" w:hAnsi="Georgia" w:cs="Calibri"/>
          <w:sz w:val="20"/>
          <w:szCs w:val="20"/>
        </w:rPr>
        <w:t xml:space="preserve"> O, </w:t>
      </w:r>
      <w:proofErr w:type="spellStart"/>
      <w:r w:rsidRPr="00D928D7">
        <w:rPr>
          <w:rFonts w:ascii="Georgia" w:hAnsi="Georgia" w:cs="Calibri"/>
          <w:sz w:val="20"/>
          <w:szCs w:val="20"/>
        </w:rPr>
        <w:t>Audran</w:t>
      </w:r>
      <w:proofErr w:type="spellEnd"/>
      <w:r w:rsidRPr="00D928D7">
        <w:rPr>
          <w:rFonts w:ascii="Georgia" w:hAnsi="Georgia" w:cs="Calibri"/>
          <w:sz w:val="20"/>
          <w:szCs w:val="20"/>
        </w:rPr>
        <w:t xml:space="preserve"> R, </w:t>
      </w:r>
      <w:proofErr w:type="spellStart"/>
      <w:r w:rsidRPr="00D928D7">
        <w:rPr>
          <w:rFonts w:ascii="Georgia" w:hAnsi="Georgia" w:cs="Calibri"/>
          <w:sz w:val="20"/>
          <w:szCs w:val="20"/>
        </w:rPr>
        <w:t>Pothin</w:t>
      </w:r>
      <w:proofErr w:type="spellEnd"/>
      <w:r w:rsidRPr="00D928D7">
        <w:rPr>
          <w:rFonts w:ascii="Georgia" w:hAnsi="Georgia" w:cs="Calibri"/>
          <w:sz w:val="20"/>
          <w:szCs w:val="20"/>
        </w:rPr>
        <w:t xml:space="preserve"> E, </w:t>
      </w:r>
      <w:proofErr w:type="spellStart"/>
      <w:r w:rsidRPr="00D928D7">
        <w:rPr>
          <w:rFonts w:ascii="Georgia" w:hAnsi="Georgia" w:cs="Calibri"/>
          <w:sz w:val="20"/>
          <w:szCs w:val="20"/>
        </w:rPr>
        <w:t>Warpelin-Decrausaz</w:t>
      </w:r>
      <w:proofErr w:type="spellEnd"/>
      <w:r w:rsidRPr="00D928D7">
        <w:rPr>
          <w:rFonts w:ascii="Georgia" w:hAnsi="Georgia" w:cs="Calibri"/>
          <w:sz w:val="20"/>
          <w:szCs w:val="20"/>
        </w:rPr>
        <w:t xml:space="preserve"> L, </w:t>
      </w:r>
      <w:proofErr w:type="spellStart"/>
      <w:r w:rsidRPr="00D928D7">
        <w:rPr>
          <w:rFonts w:ascii="Georgia" w:hAnsi="Georgia" w:cs="Calibri"/>
          <w:sz w:val="20"/>
          <w:szCs w:val="20"/>
        </w:rPr>
        <w:t>Vallotton</w:t>
      </w:r>
      <w:proofErr w:type="spellEnd"/>
      <w:r w:rsidRPr="00D928D7">
        <w:rPr>
          <w:rFonts w:ascii="Georgia" w:hAnsi="Georgia" w:cs="Calibri"/>
          <w:sz w:val="20"/>
          <w:szCs w:val="20"/>
        </w:rPr>
        <w:t xml:space="preserve"> L, </w:t>
      </w:r>
      <w:proofErr w:type="spellStart"/>
      <w:r w:rsidRPr="00D928D7">
        <w:rPr>
          <w:rFonts w:ascii="Georgia" w:hAnsi="Georgia" w:cs="Calibri"/>
          <w:sz w:val="20"/>
          <w:szCs w:val="20"/>
        </w:rPr>
        <w:t>Wuerzner</w:t>
      </w:r>
      <w:proofErr w:type="spellEnd"/>
      <w:r w:rsidRPr="00D928D7">
        <w:rPr>
          <w:rFonts w:ascii="Georgia" w:hAnsi="Georgia" w:cs="Calibri"/>
          <w:sz w:val="20"/>
          <w:szCs w:val="20"/>
        </w:rPr>
        <w:t xml:space="preserve"> G, et al.</w:t>
      </w:r>
      <w:r w:rsidRPr="00D928D7">
        <w:rPr>
          <w:rFonts w:ascii="Georgia" w:hAnsi="Georgia" w:cs="Calibri"/>
          <w:b/>
          <w:sz w:val="20"/>
          <w:szCs w:val="20"/>
        </w:rPr>
        <w:t xml:space="preserve"> </w:t>
      </w:r>
      <w:r w:rsidRPr="00D928D7">
        <w:rPr>
          <w:rFonts w:ascii="Georgia" w:hAnsi="Georgia" w:cs="Calibri"/>
          <w:sz w:val="20"/>
          <w:szCs w:val="20"/>
        </w:rPr>
        <w:t>Safety and immunogenicity of a chimpanzee adenovirus-vectored Ebola vaccine in healthy adults: a randomised, double-blind, placebo-controlled, dose-finding, phase 1/2a study. Lancet Infect Dis. 2016;16(3):311-20.</w:t>
      </w:r>
    </w:p>
    <w:p w14:paraId="0C67FF6B" w14:textId="77777777" w:rsidR="00D928D7" w:rsidRPr="00D928D7" w:rsidRDefault="00D928D7" w:rsidP="00D928D7">
      <w:pPr>
        <w:pStyle w:val="ListParagraph"/>
        <w:numPr>
          <w:ilvl w:val="0"/>
          <w:numId w:val="6"/>
        </w:numPr>
        <w:autoSpaceDE w:val="0"/>
        <w:autoSpaceDN w:val="0"/>
        <w:adjustRightInd w:val="0"/>
        <w:spacing w:after="0" w:line="240" w:lineRule="auto"/>
        <w:jc w:val="both"/>
        <w:rPr>
          <w:rFonts w:ascii="Georgia" w:hAnsi="Georgia" w:cs="Calibri"/>
          <w:sz w:val="20"/>
          <w:szCs w:val="20"/>
        </w:rPr>
      </w:pPr>
      <w:r w:rsidRPr="00D928D7">
        <w:rPr>
          <w:rFonts w:ascii="Georgia" w:hAnsi="Georgia" w:cs="Calibri"/>
          <w:sz w:val="20"/>
          <w:szCs w:val="20"/>
        </w:rPr>
        <w:t xml:space="preserve">Tapia MD, Sow SO, </w:t>
      </w:r>
      <w:proofErr w:type="spellStart"/>
      <w:r w:rsidRPr="00D928D7">
        <w:rPr>
          <w:rFonts w:ascii="Georgia" w:hAnsi="Georgia" w:cs="Calibri"/>
          <w:sz w:val="20"/>
          <w:szCs w:val="20"/>
        </w:rPr>
        <w:t>Lyke</w:t>
      </w:r>
      <w:proofErr w:type="spellEnd"/>
      <w:r w:rsidRPr="00D928D7">
        <w:rPr>
          <w:rFonts w:ascii="Georgia" w:hAnsi="Georgia" w:cs="Calibri"/>
          <w:sz w:val="20"/>
          <w:szCs w:val="20"/>
        </w:rPr>
        <w:t xml:space="preserve"> KE, </w:t>
      </w:r>
      <w:proofErr w:type="spellStart"/>
      <w:r w:rsidRPr="00D928D7">
        <w:rPr>
          <w:rFonts w:ascii="Georgia" w:hAnsi="Georgia" w:cs="Calibri"/>
          <w:sz w:val="20"/>
          <w:szCs w:val="20"/>
        </w:rPr>
        <w:t>Haidara</w:t>
      </w:r>
      <w:proofErr w:type="spellEnd"/>
      <w:r w:rsidRPr="00D928D7">
        <w:rPr>
          <w:rFonts w:ascii="Georgia" w:hAnsi="Georgia" w:cs="Calibri"/>
          <w:sz w:val="20"/>
          <w:szCs w:val="20"/>
        </w:rPr>
        <w:t xml:space="preserve"> FC, Diallo F, Doumbia M, et al.</w:t>
      </w:r>
      <w:r w:rsidRPr="00D928D7">
        <w:rPr>
          <w:rFonts w:ascii="Georgia" w:hAnsi="Georgia" w:cs="Calibri"/>
          <w:b/>
          <w:sz w:val="20"/>
          <w:szCs w:val="20"/>
        </w:rPr>
        <w:t xml:space="preserve"> </w:t>
      </w:r>
      <w:r w:rsidRPr="00D928D7">
        <w:rPr>
          <w:rFonts w:ascii="Georgia" w:hAnsi="Georgia" w:cs="Calibri"/>
          <w:sz w:val="20"/>
          <w:szCs w:val="20"/>
        </w:rPr>
        <w:t>Use of ChAd3-EBO-Z Ebola virus vaccine in Malian and US adults, and boosting of Malian adults with MVA-BN-Filo: a phase 1, single-blind, randomised trial, a phase 1b, open-label and double-blind, dose-escalation trial, and a nested, randomised, double-blind, placebo-controlled trial. Lancet Infect Dis. 2016;16(1):31-42.</w:t>
      </w:r>
    </w:p>
    <w:p w14:paraId="0EE7D1A0" w14:textId="77777777" w:rsidR="00D928D7" w:rsidRPr="00D928D7" w:rsidRDefault="00D928D7" w:rsidP="00D928D7">
      <w:pPr>
        <w:pStyle w:val="ListParagraph"/>
        <w:numPr>
          <w:ilvl w:val="0"/>
          <w:numId w:val="6"/>
        </w:numPr>
        <w:autoSpaceDE w:val="0"/>
        <w:autoSpaceDN w:val="0"/>
        <w:adjustRightInd w:val="0"/>
        <w:spacing w:after="0" w:line="240" w:lineRule="auto"/>
        <w:jc w:val="both"/>
        <w:rPr>
          <w:rFonts w:ascii="Georgia" w:hAnsi="Georgia" w:cs="Calibri"/>
          <w:sz w:val="20"/>
          <w:szCs w:val="20"/>
        </w:rPr>
      </w:pPr>
      <w:r w:rsidRPr="00D928D7">
        <w:rPr>
          <w:rFonts w:ascii="Georgia" w:hAnsi="Georgia" w:cs="Calibri"/>
          <w:sz w:val="20"/>
          <w:szCs w:val="20"/>
        </w:rPr>
        <w:t xml:space="preserve">Tapia MD, Sow SO, </w:t>
      </w:r>
      <w:proofErr w:type="spellStart"/>
      <w:r w:rsidRPr="00D928D7">
        <w:rPr>
          <w:rFonts w:ascii="Georgia" w:hAnsi="Georgia" w:cs="Calibri"/>
          <w:sz w:val="20"/>
          <w:szCs w:val="20"/>
        </w:rPr>
        <w:t>Mbaye</w:t>
      </w:r>
      <w:proofErr w:type="spellEnd"/>
      <w:r w:rsidRPr="00D928D7">
        <w:rPr>
          <w:rFonts w:ascii="Georgia" w:hAnsi="Georgia" w:cs="Calibri"/>
          <w:sz w:val="20"/>
          <w:szCs w:val="20"/>
        </w:rPr>
        <w:t xml:space="preserve"> KD, </w:t>
      </w:r>
      <w:proofErr w:type="spellStart"/>
      <w:r w:rsidRPr="00D928D7">
        <w:rPr>
          <w:rFonts w:ascii="Georgia" w:hAnsi="Georgia" w:cs="Calibri"/>
          <w:sz w:val="20"/>
          <w:szCs w:val="20"/>
        </w:rPr>
        <w:t>Thiongane</w:t>
      </w:r>
      <w:proofErr w:type="spellEnd"/>
      <w:r w:rsidRPr="00D928D7">
        <w:rPr>
          <w:rFonts w:ascii="Georgia" w:hAnsi="Georgia" w:cs="Calibri"/>
          <w:sz w:val="20"/>
          <w:szCs w:val="20"/>
        </w:rPr>
        <w:t xml:space="preserve"> A, Ndiaye BP, Ndour CT, et al.</w:t>
      </w:r>
      <w:r w:rsidRPr="00D928D7">
        <w:rPr>
          <w:rFonts w:ascii="Georgia" w:hAnsi="Georgia" w:cs="Calibri"/>
          <w:b/>
          <w:sz w:val="20"/>
          <w:szCs w:val="20"/>
        </w:rPr>
        <w:t xml:space="preserve"> </w:t>
      </w:r>
      <w:r w:rsidRPr="00D928D7">
        <w:rPr>
          <w:rFonts w:ascii="Georgia" w:hAnsi="Georgia" w:cs="Calibri"/>
          <w:sz w:val="20"/>
          <w:szCs w:val="20"/>
        </w:rPr>
        <w:t>Safety, reactogenicity, and immunogenicity of a chimpanzee adenovirus vectored Ebola vaccine in children in Africa: a randomised, observer-blind, placebo-controlled, phase 2 trial. The Lancet Infectious Diseases. 2020;20(6):719-30.</w:t>
      </w:r>
    </w:p>
    <w:p w14:paraId="01507BAA" w14:textId="77777777" w:rsidR="00D928D7" w:rsidRPr="00D928D7" w:rsidRDefault="00D928D7" w:rsidP="00D928D7">
      <w:pPr>
        <w:pStyle w:val="ListParagraph"/>
        <w:numPr>
          <w:ilvl w:val="0"/>
          <w:numId w:val="6"/>
        </w:numPr>
        <w:autoSpaceDE w:val="0"/>
        <w:autoSpaceDN w:val="0"/>
        <w:adjustRightInd w:val="0"/>
        <w:spacing w:after="0" w:line="240" w:lineRule="auto"/>
        <w:jc w:val="both"/>
        <w:rPr>
          <w:rFonts w:ascii="Georgia" w:hAnsi="Georgia" w:cs="Calibri"/>
          <w:sz w:val="20"/>
          <w:szCs w:val="20"/>
        </w:rPr>
      </w:pPr>
      <w:proofErr w:type="spellStart"/>
      <w:r w:rsidRPr="00D928D7">
        <w:rPr>
          <w:rFonts w:ascii="Georgia" w:hAnsi="Georgia" w:cs="Calibri"/>
          <w:sz w:val="20"/>
          <w:szCs w:val="20"/>
        </w:rPr>
        <w:t>Jaax</w:t>
      </w:r>
      <w:proofErr w:type="spellEnd"/>
      <w:r w:rsidRPr="00D928D7">
        <w:rPr>
          <w:rFonts w:ascii="Georgia" w:hAnsi="Georgia" w:cs="Calibri"/>
          <w:sz w:val="20"/>
          <w:szCs w:val="20"/>
        </w:rPr>
        <w:t xml:space="preserve"> ME, </w:t>
      </w:r>
      <w:proofErr w:type="spellStart"/>
      <w:r w:rsidRPr="00D928D7">
        <w:rPr>
          <w:rFonts w:ascii="Georgia" w:hAnsi="Georgia" w:cs="Calibri"/>
          <w:sz w:val="20"/>
          <w:szCs w:val="20"/>
        </w:rPr>
        <w:t>Krauel</w:t>
      </w:r>
      <w:proofErr w:type="spellEnd"/>
      <w:r w:rsidRPr="00D928D7">
        <w:rPr>
          <w:rFonts w:ascii="Georgia" w:hAnsi="Georgia" w:cs="Calibri"/>
          <w:sz w:val="20"/>
          <w:szCs w:val="20"/>
        </w:rPr>
        <w:t xml:space="preserve"> K, </w:t>
      </w:r>
      <w:proofErr w:type="spellStart"/>
      <w:r w:rsidRPr="00D928D7">
        <w:rPr>
          <w:rFonts w:ascii="Georgia" w:hAnsi="Georgia" w:cs="Calibri"/>
          <w:sz w:val="20"/>
          <w:szCs w:val="20"/>
        </w:rPr>
        <w:t>Marschall</w:t>
      </w:r>
      <w:proofErr w:type="spellEnd"/>
      <w:r w:rsidRPr="00D928D7">
        <w:rPr>
          <w:rFonts w:ascii="Georgia" w:hAnsi="Georgia" w:cs="Calibri"/>
          <w:sz w:val="20"/>
          <w:szCs w:val="20"/>
        </w:rPr>
        <w:t xml:space="preserve"> T, Brandt S, </w:t>
      </w:r>
      <w:proofErr w:type="spellStart"/>
      <w:r w:rsidRPr="00D928D7">
        <w:rPr>
          <w:rFonts w:ascii="Georgia" w:hAnsi="Georgia" w:cs="Calibri"/>
          <w:sz w:val="20"/>
          <w:szCs w:val="20"/>
        </w:rPr>
        <w:t>Gansler</w:t>
      </w:r>
      <w:proofErr w:type="spellEnd"/>
      <w:r w:rsidRPr="00D928D7">
        <w:rPr>
          <w:rFonts w:ascii="Georgia" w:hAnsi="Georgia" w:cs="Calibri"/>
          <w:sz w:val="20"/>
          <w:szCs w:val="20"/>
        </w:rPr>
        <w:t xml:space="preserve"> J, </w:t>
      </w:r>
      <w:proofErr w:type="spellStart"/>
      <w:r w:rsidRPr="00D928D7">
        <w:rPr>
          <w:rFonts w:ascii="Georgia" w:hAnsi="Georgia" w:cs="Calibri"/>
          <w:sz w:val="20"/>
          <w:szCs w:val="20"/>
        </w:rPr>
        <w:t>Fürll</w:t>
      </w:r>
      <w:proofErr w:type="spellEnd"/>
      <w:r w:rsidRPr="00D928D7">
        <w:rPr>
          <w:rFonts w:ascii="Georgia" w:hAnsi="Georgia" w:cs="Calibri"/>
          <w:sz w:val="20"/>
          <w:szCs w:val="20"/>
        </w:rPr>
        <w:t xml:space="preserve"> B, et al.</w:t>
      </w:r>
      <w:r w:rsidRPr="00D928D7">
        <w:rPr>
          <w:rFonts w:ascii="Georgia" w:hAnsi="Georgia" w:cs="Calibri"/>
          <w:b/>
          <w:sz w:val="20"/>
          <w:szCs w:val="20"/>
        </w:rPr>
        <w:t xml:space="preserve"> </w:t>
      </w:r>
      <w:r w:rsidRPr="00D928D7">
        <w:rPr>
          <w:rFonts w:ascii="Georgia" w:hAnsi="Georgia" w:cs="Calibri"/>
          <w:sz w:val="20"/>
          <w:szCs w:val="20"/>
        </w:rPr>
        <w:t>Complex formation with nucleic acids and aptamers alters the antigenic properties of platelet factor 4. Blood. 2013;122(2):272-81.</w:t>
      </w:r>
    </w:p>
    <w:p w14:paraId="0127347B" w14:textId="2C225515" w:rsidR="00D928D7" w:rsidRPr="00A129E4" w:rsidRDefault="00A129E4" w:rsidP="00A129E4">
      <w:pPr>
        <w:pStyle w:val="ListParagraph"/>
        <w:numPr>
          <w:ilvl w:val="0"/>
          <w:numId w:val="6"/>
        </w:numPr>
        <w:spacing w:after="0" w:line="240" w:lineRule="auto"/>
        <w:ind w:left="357" w:hanging="357"/>
        <w:jc w:val="both"/>
        <w:rPr>
          <w:rFonts w:ascii="Georgia" w:eastAsia="Times New Roman" w:hAnsi="Georgia" w:cs="Times New Roman"/>
          <w:sz w:val="20"/>
          <w:szCs w:val="20"/>
          <w:lang w:eastAsia="en-GB"/>
        </w:rPr>
      </w:pPr>
      <w:proofErr w:type="spellStart"/>
      <w:r w:rsidRPr="00A129E4">
        <w:rPr>
          <w:rFonts w:ascii="Georgia" w:eastAsia="Times New Roman" w:hAnsi="Georgia" w:cs="Times New Roman"/>
          <w:color w:val="201F1E"/>
          <w:sz w:val="20"/>
          <w:szCs w:val="20"/>
          <w:shd w:val="clear" w:color="auto" w:fill="FFFFFF"/>
          <w:lang w:eastAsia="en-GB"/>
        </w:rPr>
        <w:t>Greinacher</w:t>
      </w:r>
      <w:proofErr w:type="spellEnd"/>
      <w:r w:rsidRPr="00A129E4">
        <w:rPr>
          <w:rFonts w:ascii="Georgia" w:eastAsia="Times New Roman" w:hAnsi="Georgia" w:cs="Times New Roman"/>
          <w:color w:val="201F1E"/>
          <w:sz w:val="20"/>
          <w:szCs w:val="20"/>
          <w:shd w:val="clear" w:color="auto" w:fill="FFFFFF"/>
          <w:lang w:eastAsia="en-GB"/>
        </w:rPr>
        <w:t xml:space="preserve">, A; </w:t>
      </w:r>
      <w:proofErr w:type="spellStart"/>
      <w:r w:rsidRPr="00A129E4">
        <w:rPr>
          <w:rFonts w:ascii="Georgia" w:eastAsia="Times New Roman" w:hAnsi="Georgia" w:cs="Times New Roman"/>
          <w:color w:val="201F1E"/>
          <w:sz w:val="20"/>
          <w:szCs w:val="20"/>
          <w:shd w:val="clear" w:color="auto" w:fill="FFFFFF"/>
          <w:lang w:eastAsia="en-GB"/>
        </w:rPr>
        <w:t>Selleng</w:t>
      </w:r>
      <w:proofErr w:type="spellEnd"/>
      <w:r w:rsidRPr="00A129E4">
        <w:rPr>
          <w:rFonts w:ascii="Georgia" w:eastAsia="Times New Roman" w:hAnsi="Georgia" w:cs="Times New Roman"/>
          <w:color w:val="201F1E"/>
          <w:sz w:val="20"/>
          <w:szCs w:val="20"/>
          <w:shd w:val="clear" w:color="auto" w:fill="FFFFFF"/>
          <w:lang w:eastAsia="en-GB"/>
        </w:rPr>
        <w:t xml:space="preserve">, K; </w:t>
      </w:r>
      <w:proofErr w:type="spellStart"/>
      <w:r w:rsidRPr="00A129E4">
        <w:rPr>
          <w:rFonts w:ascii="Georgia" w:eastAsia="Times New Roman" w:hAnsi="Georgia" w:cs="Times New Roman"/>
          <w:color w:val="201F1E"/>
          <w:sz w:val="20"/>
          <w:szCs w:val="20"/>
          <w:shd w:val="clear" w:color="auto" w:fill="FFFFFF"/>
          <w:lang w:eastAsia="en-GB"/>
        </w:rPr>
        <w:t>Mayerle</w:t>
      </w:r>
      <w:proofErr w:type="spellEnd"/>
      <w:r w:rsidRPr="00A129E4">
        <w:rPr>
          <w:rFonts w:ascii="Georgia" w:eastAsia="Times New Roman" w:hAnsi="Georgia" w:cs="Times New Roman"/>
          <w:color w:val="201F1E"/>
          <w:sz w:val="20"/>
          <w:szCs w:val="20"/>
          <w:shd w:val="clear" w:color="auto" w:fill="FFFFFF"/>
          <w:lang w:eastAsia="en-GB"/>
        </w:rPr>
        <w:t>, J,  et al.</w:t>
      </w:r>
      <w:r w:rsidRPr="00A129E4">
        <w:rPr>
          <w:rFonts w:ascii="Georgia" w:eastAsia="Times New Roman" w:hAnsi="Georgia" w:cs="Times New Roman"/>
          <w:b/>
          <w:bCs/>
          <w:color w:val="201F1E"/>
          <w:sz w:val="20"/>
          <w:szCs w:val="20"/>
          <w:shd w:val="clear" w:color="auto" w:fill="FFFFFF"/>
          <w:lang w:eastAsia="en-GB"/>
        </w:rPr>
        <w:t> </w:t>
      </w:r>
      <w:r w:rsidRPr="00A129E4">
        <w:rPr>
          <w:rFonts w:ascii="Georgia" w:eastAsia="Times New Roman" w:hAnsi="Georgia" w:cs="Times New Roman"/>
          <w:color w:val="201F1E"/>
          <w:sz w:val="20"/>
          <w:szCs w:val="20"/>
          <w:shd w:val="clear" w:color="auto" w:fill="FFFFFF"/>
          <w:lang w:eastAsia="en-GB"/>
        </w:rPr>
        <w:t>Research Square. 2021.</w:t>
      </w:r>
      <w:r w:rsidR="00D928D7" w:rsidRPr="00A129E4">
        <w:rPr>
          <w:rFonts w:ascii="Georgia" w:hAnsi="Georgia" w:cs="Calibri"/>
          <w:sz w:val="20"/>
          <w:szCs w:val="20"/>
          <w:lang w:val="en-US"/>
        </w:rPr>
        <w:t xml:space="preserve">DOI:10.21203/rs.3.rs-404769/v1 </w:t>
      </w:r>
    </w:p>
    <w:p w14:paraId="3DFE221E" w14:textId="63E3C50D" w:rsidR="00D928D7" w:rsidRPr="00D928D7" w:rsidRDefault="00D928D7" w:rsidP="00D928D7">
      <w:pPr>
        <w:pStyle w:val="ListParagraph"/>
        <w:autoSpaceDE w:val="0"/>
        <w:autoSpaceDN w:val="0"/>
        <w:adjustRightInd w:val="0"/>
        <w:spacing w:after="0" w:line="240" w:lineRule="auto"/>
        <w:ind w:left="357"/>
        <w:jc w:val="both"/>
        <w:rPr>
          <w:rFonts w:ascii="Georgia" w:hAnsi="Georgia" w:cs="Calibri"/>
          <w:sz w:val="20"/>
          <w:szCs w:val="20"/>
        </w:rPr>
      </w:pPr>
    </w:p>
    <w:p w14:paraId="4F5FD6EE" w14:textId="77777777" w:rsidR="00D928D7" w:rsidRPr="00D928D7" w:rsidRDefault="00D928D7" w:rsidP="00D928D7">
      <w:pPr>
        <w:spacing w:after="0" w:line="240" w:lineRule="auto"/>
        <w:jc w:val="both"/>
        <w:rPr>
          <w:rFonts w:ascii="Georgia" w:hAnsi="Georgia" w:cs="Calibri"/>
          <w:sz w:val="20"/>
          <w:szCs w:val="20"/>
        </w:rPr>
      </w:pPr>
    </w:p>
    <w:p w14:paraId="0BBAB1A9" w14:textId="0601F06A" w:rsidR="00D928D7" w:rsidRDefault="00D928D7" w:rsidP="00D928D7">
      <w:pPr>
        <w:tabs>
          <w:tab w:val="left" w:pos="142"/>
        </w:tabs>
        <w:spacing w:after="0" w:line="240" w:lineRule="auto"/>
        <w:jc w:val="both"/>
        <w:rPr>
          <w:rFonts w:ascii="Georgia" w:eastAsia="Times New Roman Uni" w:hAnsi="Georgia" w:cs="Times New Roman"/>
          <w:sz w:val="20"/>
          <w:szCs w:val="20"/>
        </w:rPr>
      </w:pPr>
    </w:p>
    <w:p w14:paraId="1370C649" w14:textId="6873A5B3" w:rsidR="00D928D7" w:rsidRDefault="00D928D7" w:rsidP="00D928D7">
      <w:pPr>
        <w:tabs>
          <w:tab w:val="left" w:pos="142"/>
        </w:tabs>
        <w:spacing w:after="0" w:line="240" w:lineRule="auto"/>
        <w:jc w:val="both"/>
        <w:rPr>
          <w:rFonts w:ascii="Georgia" w:eastAsia="Times New Roman Uni" w:hAnsi="Georgia" w:cs="Times New Roman"/>
          <w:sz w:val="20"/>
          <w:szCs w:val="20"/>
        </w:rPr>
      </w:pPr>
    </w:p>
    <w:p w14:paraId="37A8B34C" w14:textId="5DF33A55" w:rsidR="00D928D7" w:rsidRDefault="00D928D7" w:rsidP="00D928D7">
      <w:pPr>
        <w:tabs>
          <w:tab w:val="left" w:pos="142"/>
        </w:tabs>
        <w:spacing w:after="0" w:line="240" w:lineRule="auto"/>
        <w:jc w:val="both"/>
        <w:rPr>
          <w:rFonts w:ascii="Georgia" w:eastAsia="Times New Roman Uni" w:hAnsi="Georgia" w:cs="Times New Roman"/>
          <w:sz w:val="20"/>
          <w:szCs w:val="20"/>
        </w:rPr>
      </w:pPr>
    </w:p>
    <w:p w14:paraId="5711B2E8" w14:textId="5D095AED" w:rsidR="00D928D7" w:rsidRDefault="00D928D7" w:rsidP="00D928D7">
      <w:pPr>
        <w:tabs>
          <w:tab w:val="left" w:pos="142"/>
        </w:tabs>
        <w:spacing w:after="0" w:line="240" w:lineRule="auto"/>
        <w:jc w:val="both"/>
        <w:rPr>
          <w:rFonts w:ascii="Georgia" w:eastAsia="Times New Roman Uni" w:hAnsi="Georgia" w:cs="Times New Roman"/>
          <w:sz w:val="20"/>
          <w:szCs w:val="20"/>
        </w:rPr>
      </w:pPr>
    </w:p>
    <w:p w14:paraId="4AF21E79" w14:textId="4587E2C5" w:rsidR="00D928D7" w:rsidRDefault="00D928D7" w:rsidP="00D928D7">
      <w:pPr>
        <w:tabs>
          <w:tab w:val="left" w:pos="142"/>
        </w:tabs>
        <w:spacing w:after="0" w:line="240" w:lineRule="auto"/>
        <w:jc w:val="both"/>
        <w:rPr>
          <w:rFonts w:ascii="Georgia" w:eastAsia="Times New Roman Uni" w:hAnsi="Georgia" w:cs="Times New Roman"/>
          <w:sz w:val="20"/>
          <w:szCs w:val="20"/>
        </w:rPr>
      </w:pPr>
    </w:p>
    <w:p w14:paraId="09137F1B" w14:textId="4BFFD2A0" w:rsidR="00D928D7" w:rsidRDefault="00D928D7" w:rsidP="00D928D7">
      <w:pPr>
        <w:tabs>
          <w:tab w:val="left" w:pos="142"/>
        </w:tabs>
        <w:spacing w:after="0" w:line="240" w:lineRule="auto"/>
        <w:jc w:val="both"/>
        <w:rPr>
          <w:rFonts w:ascii="Georgia" w:eastAsia="Times New Roman Uni" w:hAnsi="Georgia" w:cs="Times New Roman"/>
          <w:sz w:val="20"/>
          <w:szCs w:val="20"/>
        </w:rPr>
      </w:pPr>
    </w:p>
    <w:p w14:paraId="30401739" w14:textId="25C7AA0B" w:rsidR="00D928D7" w:rsidRDefault="00D928D7" w:rsidP="00D928D7">
      <w:pPr>
        <w:tabs>
          <w:tab w:val="left" w:pos="142"/>
        </w:tabs>
        <w:spacing w:after="0" w:line="240" w:lineRule="auto"/>
        <w:jc w:val="both"/>
        <w:rPr>
          <w:rFonts w:ascii="Georgia" w:eastAsia="Times New Roman Uni" w:hAnsi="Georgia" w:cs="Times New Roman"/>
          <w:sz w:val="20"/>
          <w:szCs w:val="20"/>
        </w:rPr>
      </w:pPr>
    </w:p>
    <w:p w14:paraId="77D334A5" w14:textId="7C97972C" w:rsidR="00D928D7" w:rsidRDefault="00D928D7" w:rsidP="00D928D7">
      <w:pPr>
        <w:tabs>
          <w:tab w:val="left" w:pos="142"/>
        </w:tabs>
        <w:spacing w:after="0" w:line="240" w:lineRule="auto"/>
        <w:jc w:val="both"/>
        <w:rPr>
          <w:rFonts w:ascii="Georgia" w:eastAsia="Times New Roman Uni" w:hAnsi="Georgia" w:cs="Times New Roman"/>
          <w:sz w:val="20"/>
          <w:szCs w:val="20"/>
        </w:rPr>
      </w:pPr>
    </w:p>
    <w:p w14:paraId="5E8F6F4A" w14:textId="3FAD50E9" w:rsidR="00D928D7" w:rsidRDefault="00D928D7" w:rsidP="00D928D7">
      <w:pPr>
        <w:tabs>
          <w:tab w:val="left" w:pos="142"/>
        </w:tabs>
        <w:spacing w:after="0" w:line="240" w:lineRule="auto"/>
        <w:jc w:val="both"/>
        <w:rPr>
          <w:rFonts w:ascii="Georgia" w:eastAsia="Times New Roman Uni" w:hAnsi="Georgia" w:cs="Times New Roman"/>
          <w:sz w:val="20"/>
          <w:szCs w:val="20"/>
        </w:rPr>
      </w:pPr>
    </w:p>
    <w:p w14:paraId="7705CB1D" w14:textId="344E1AE3" w:rsidR="00D928D7" w:rsidRDefault="00D928D7" w:rsidP="00D928D7">
      <w:pPr>
        <w:tabs>
          <w:tab w:val="left" w:pos="142"/>
        </w:tabs>
        <w:spacing w:after="0" w:line="240" w:lineRule="auto"/>
        <w:jc w:val="both"/>
        <w:rPr>
          <w:rFonts w:ascii="Georgia" w:eastAsia="Times New Roman Uni" w:hAnsi="Georgia" w:cs="Times New Roman"/>
          <w:sz w:val="20"/>
          <w:szCs w:val="20"/>
        </w:rPr>
      </w:pPr>
    </w:p>
    <w:p w14:paraId="336A39FA" w14:textId="0D3EF88D" w:rsidR="00D928D7" w:rsidRDefault="00D928D7" w:rsidP="00D928D7">
      <w:pPr>
        <w:tabs>
          <w:tab w:val="left" w:pos="142"/>
        </w:tabs>
        <w:spacing w:after="0" w:line="240" w:lineRule="auto"/>
        <w:jc w:val="both"/>
        <w:rPr>
          <w:rFonts w:ascii="Georgia" w:eastAsia="Times New Roman Uni" w:hAnsi="Georgia" w:cs="Times New Roman"/>
          <w:sz w:val="20"/>
          <w:szCs w:val="20"/>
        </w:rPr>
      </w:pPr>
    </w:p>
    <w:p w14:paraId="3BA53EEA" w14:textId="4D6B721F" w:rsidR="00D928D7" w:rsidRDefault="00D928D7" w:rsidP="00D928D7">
      <w:pPr>
        <w:tabs>
          <w:tab w:val="left" w:pos="142"/>
        </w:tabs>
        <w:spacing w:after="0" w:line="240" w:lineRule="auto"/>
        <w:jc w:val="both"/>
        <w:rPr>
          <w:rFonts w:ascii="Georgia" w:hAnsi="Georgia"/>
          <w:sz w:val="14"/>
        </w:rPr>
      </w:pPr>
    </w:p>
    <w:p w14:paraId="2E05E44F" w14:textId="374E14A8" w:rsidR="00D928D7" w:rsidRPr="00D928D7" w:rsidRDefault="00D928D7" w:rsidP="00D928D7">
      <w:pPr>
        <w:tabs>
          <w:tab w:val="left" w:pos="142"/>
        </w:tabs>
        <w:spacing w:after="0" w:line="240" w:lineRule="auto"/>
        <w:jc w:val="both"/>
        <w:rPr>
          <w:rFonts w:ascii="Georgia" w:eastAsia="Times New Roman Uni" w:hAnsi="Georgia" w:cs="Times New Roman"/>
          <w:sz w:val="20"/>
          <w:szCs w:val="20"/>
        </w:rPr>
      </w:pPr>
      <w:r>
        <w:rPr>
          <w:noProof/>
        </w:rPr>
        <w:lastRenderedPageBreak/>
        <mc:AlternateContent>
          <mc:Choice Requires="wps">
            <w:drawing>
              <wp:anchor distT="0" distB="0" distL="114300" distR="114300" simplePos="0" relativeHeight="251657216" behindDoc="0" locked="0" layoutInCell="1" allowOverlap="1" wp14:anchorId="497B4F24" wp14:editId="10D2EF20">
                <wp:simplePos x="0" y="0"/>
                <wp:positionH relativeFrom="column">
                  <wp:posOffset>5715</wp:posOffset>
                </wp:positionH>
                <wp:positionV relativeFrom="paragraph">
                  <wp:posOffset>181610</wp:posOffset>
                </wp:positionV>
                <wp:extent cx="6484620" cy="1288415"/>
                <wp:effectExtent l="0" t="0" r="0" b="6985"/>
                <wp:wrapNone/>
                <wp:docPr id="5" name="Rectangle 5"/>
                <wp:cNvGraphicFramePr/>
                <a:graphic xmlns:a="http://schemas.openxmlformats.org/drawingml/2006/main">
                  <a:graphicData uri="http://schemas.microsoft.com/office/word/2010/wordprocessingShape">
                    <wps:wsp>
                      <wps:cNvSpPr/>
                      <wps:spPr>
                        <a:xfrm>
                          <a:off x="0" y="0"/>
                          <a:ext cx="6484620" cy="1288415"/>
                        </a:xfrm>
                        <a:prstGeom prst="rect">
                          <a:avLst/>
                        </a:prstGeom>
                        <a:solidFill>
                          <a:srgbClr val="44546A">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BB59E4" id="Rectangle 5" o:spid="_x0000_s1026" style="position:absolute;margin-left:.45pt;margin-top:14.3pt;width:510.6pt;height:101.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" fillcolor="#d6dce5" stroked="f" strokeweight="1pt"/>
            </w:pict>
          </mc:Fallback>
        </mc:AlternateContent>
      </w:r>
      <w:r>
        <w:rPr>
          <w:rFonts w:ascii="Times New Roman" w:hAnsi="Times New Roman" w:cs="Times New Roman"/>
          <w:noProof/>
          <w:sz w:val="24"/>
          <w:szCs w:val="24"/>
          <w:lang w:eastAsia="en-AU"/>
        </w:rPr>
        <mc:AlternateContent>
          <mc:Choice Requires="wps">
            <w:drawing>
              <wp:anchor distT="45720" distB="45720" distL="114300" distR="114300" simplePos="0" relativeHeight="251661316" behindDoc="0" locked="0" layoutInCell="1" allowOverlap="1" wp14:anchorId="051DE1E7" wp14:editId="66701775">
                <wp:simplePos x="0" y="0"/>
                <wp:positionH relativeFrom="column">
                  <wp:posOffset>0</wp:posOffset>
                </wp:positionH>
                <wp:positionV relativeFrom="paragraph">
                  <wp:posOffset>185420</wp:posOffset>
                </wp:positionV>
                <wp:extent cx="6477000" cy="1256030"/>
                <wp:effectExtent l="0" t="0" r="0" b="127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256030"/>
                        </a:xfrm>
                        <a:prstGeom prst="rect">
                          <a:avLst/>
                        </a:prstGeom>
                        <a:noFill/>
                        <a:ln w="9525">
                          <a:noFill/>
                          <a:miter lim="800000"/>
                          <a:headEnd/>
                          <a:tailEnd/>
                        </a:ln>
                      </wps:spPr>
                      <wps:txbx>
                        <w:txbxContent>
                          <w:p w14:paraId="17D38E7E" w14:textId="278696E6" w:rsidR="00D928D7" w:rsidRDefault="00D928D7" w:rsidP="00D928D7">
                            <w:pPr>
                              <w:tabs>
                                <w:tab w:val="left" w:pos="142"/>
                              </w:tabs>
                              <w:spacing w:after="0" w:line="240" w:lineRule="auto"/>
                              <w:jc w:val="both"/>
                              <w:rPr>
                                <w:rFonts w:ascii="Georgia" w:hAnsi="Georgia"/>
                                <w:sz w:val="14"/>
                              </w:rPr>
                            </w:pPr>
                            <w:r>
                              <w:rPr>
                                <w:rFonts w:ascii="Georgia" w:hAnsi="Georgia"/>
                                <w:b/>
                                <w:sz w:val="16"/>
                              </w:rPr>
                              <w:t>How to cite this article</w:t>
                            </w:r>
                            <w:r>
                              <w:rPr>
                                <w:rFonts w:ascii="Georgia" w:hAnsi="Georgia"/>
                                <w:sz w:val="16"/>
                              </w:rPr>
                              <w:t xml:space="preserve">: </w:t>
                            </w:r>
                            <w:r w:rsidRPr="00D928D7">
                              <w:rPr>
                                <w:rFonts w:ascii="Georgia" w:hAnsi="Georgia"/>
                                <w:sz w:val="16"/>
                                <w:szCs w:val="28"/>
                              </w:rPr>
                              <w:t>MacIntyre CR. Using the Bradford-Hill criteria to assess causality in the association between CHADOX1</w:t>
                            </w:r>
                            <w:r w:rsidR="007B47DC">
                              <w:rPr>
                                <w:rFonts w:ascii="Georgia" w:hAnsi="Georgia"/>
                                <w:sz w:val="16"/>
                                <w:szCs w:val="28"/>
                              </w:rPr>
                              <w:t xml:space="preserve"> </w:t>
                            </w:r>
                            <w:r w:rsidRPr="00D928D7">
                              <w:rPr>
                                <w:rFonts w:ascii="Georgia" w:hAnsi="Georgia"/>
                                <w:sz w:val="16"/>
                                <w:szCs w:val="28"/>
                              </w:rPr>
                              <w:t xml:space="preserve">NCOV-19 vaccine and prothrombotic immune thrombocytopenia. </w:t>
                            </w:r>
                            <w:r w:rsidRPr="00D928D7">
                              <w:rPr>
                                <w:rFonts w:ascii="Georgia" w:hAnsi="Georgia"/>
                                <w:i/>
                                <w:sz w:val="16"/>
                                <w:szCs w:val="28"/>
                              </w:rPr>
                              <w:t>Global Biosecurity, 2021; 3(1).</w:t>
                            </w:r>
                            <w:r w:rsidRPr="000F3DB0">
                              <w:rPr>
                                <w:rFonts w:ascii="Georgia" w:hAnsi="Georgia"/>
                                <w:sz w:val="14"/>
                              </w:rPr>
                              <w:tab/>
                            </w:r>
                          </w:p>
                          <w:p w14:paraId="33146465" w14:textId="2553B856" w:rsidR="00D928D7" w:rsidRPr="00D928D7" w:rsidRDefault="00D928D7" w:rsidP="00D928D7">
                            <w:pPr>
                              <w:tabs>
                                <w:tab w:val="left" w:pos="142"/>
                              </w:tabs>
                              <w:spacing w:after="0" w:line="240" w:lineRule="auto"/>
                              <w:jc w:val="both"/>
                              <w:rPr>
                                <w:rFonts w:ascii="Georgia" w:hAnsi="Georgia"/>
                                <w:sz w:val="14"/>
                              </w:rPr>
                            </w:pPr>
                            <w:r w:rsidRPr="00C20641">
                              <w:rPr>
                                <w:rFonts w:ascii="Georgia" w:hAnsi="Georgia"/>
                                <w:sz w:val="18"/>
                                <w:szCs w:val="24"/>
                              </w:rPr>
                              <w:tab/>
                            </w:r>
                            <w:r>
                              <w:rPr>
                                <w:rFonts w:ascii="Georgia" w:hAnsi="Georgia"/>
                                <w:i/>
                                <w:sz w:val="16"/>
                              </w:rPr>
                              <w:tab/>
                            </w:r>
                          </w:p>
                          <w:p w14:paraId="305C4B49" w14:textId="06446A37" w:rsidR="00D928D7" w:rsidRDefault="00D928D7" w:rsidP="00D928D7">
                            <w:pPr>
                              <w:rPr>
                                <w:rFonts w:ascii="Georgia" w:hAnsi="Georgia"/>
                                <w:sz w:val="16"/>
                              </w:rPr>
                            </w:pPr>
                            <w:r>
                              <w:rPr>
                                <w:rFonts w:ascii="Georgia" w:hAnsi="Georgia"/>
                                <w:b/>
                                <w:sz w:val="16"/>
                              </w:rPr>
                              <w:t>Published</w:t>
                            </w:r>
                            <w:r>
                              <w:rPr>
                                <w:rFonts w:ascii="Georgia" w:hAnsi="Georgia"/>
                                <w:sz w:val="16"/>
                              </w:rPr>
                              <w:t>: April 2021</w:t>
                            </w:r>
                          </w:p>
                          <w:p w14:paraId="5FC10C21" w14:textId="423C5281" w:rsidR="00D928D7" w:rsidRDefault="00D928D7" w:rsidP="00D928D7">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Pr>
                                <w:rFonts w:ascii="Georgia" w:hAnsi="Georgia"/>
                                <w:sz w:val="16"/>
                              </w:rPr>
                              <w:t>2021</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15"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0BFB3B50" w14:textId="77777777" w:rsidR="00D928D7" w:rsidRDefault="00D928D7" w:rsidP="00D928D7">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1DE1E7" id="_x0000_t202" coordsize="21600,21600" o:spt="202" path="m,l,21600r21600,l21600,xe">
                <v:stroke joinstyle="miter"/>
                <v:path gradientshapeok="t" o:connecttype="rect"/>
              </v:shapetype>
              <v:shape id="Text Box 217" o:spid="_x0000_s1026" type="#_x0000_t202" style="position:absolute;left:0;text-align:left;margin-left:0;margin-top:14.6pt;width:510pt;height:98.9pt;z-index:2516613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" filled="f" stroked="f">
                <v:textbox>
                  <w:txbxContent>
                    <w:p w14:paraId="17D38E7E" w14:textId="278696E6" w:rsidR="00D928D7" w:rsidRDefault="00D928D7" w:rsidP="00D928D7">
                      <w:pPr>
                        <w:tabs>
                          <w:tab w:val="left" w:pos="142"/>
                        </w:tabs>
                        <w:spacing w:after="0" w:line="240" w:lineRule="auto"/>
                        <w:jc w:val="both"/>
                        <w:rPr>
                          <w:rFonts w:ascii="Georgia" w:hAnsi="Georgia"/>
                          <w:sz w:val="14"/>
                        </w:rPr>
                      </w:pPr>
                      <w:r>
                        <w:rPr>
                          <w:rFonts w:ascii="Georgia" w:hAnsi="Georgia"/>
                          <w:b/>
                          <w:sz w:val="16"/>
                        </w:rPr>
                        <w:t>How to cite this article</w:t>
                      </w:r>
                      <w:r>
                        <w:rPr>
                          <w:rFonts w:ascii="Georgia" w:hAnsi="Georgia"/>
                          <w:sz w:val="16"/>
                        </w:rPr>
                        <w:t xml:space="preserve">: </w:t>
                      </w:r>
                      <w:r w:rsidRPr="00D928D7">
                        <w:rPr>
                          <w:rFonts w:ascii="Georgia" w:hAnsi="Georgia"/>
                          <w:sz w:val="16"/>
                          <w:szCs w:val="28"/>
                        </w:rPr>
                        <w:t>MacIntyre CR. Using the Bradford-Hill criteria to assess causality in the association between CHADOX1</w:t>
                      </w:r>
                      <w:r w:rsidR="007B47DC">
                        <w:rPr>
                          <w:rFonts w:ascii="Georgia" w:hAnsi="Georgia"/>
                          <w:sz w:val="16"/>
                          <w:szCs w:val="28"/>
                        </w:rPr>
                        <w:t xml:space="preserve"> </w:t>
                      </w:r>
                      <w:r w:rsidRPr="00D928D7">
                        <w:rPr>
                          <w:rFonts w:ascii="Georgia" w:hAnsi="Georgia"/>
                          <w:sz w:val="16"/>
                          <w:szCs w:val="28"/>
                        </w:rPr>
                        <w:t xml:space="preserve">NCOV-19 vaccine and prothrombotic immune thrombocytopenia. </w:t>
                      </w:r>
                      <w:r w:rsidRPr="00D928D7">
                        <w:rPr>
                          <w:rFonts w:ascii="Georgia" w:hAnsi="Georgia"/>
                          <w:i/>
                          <w:sz w:val="16"/>
                          <w:szCs w:val="28"/>
                        </w:rPr>
                        <w:t>Global Biosecurity, 2021; 3(1).</w:t>
                      </w:r>
                      <w:r w:rsidRPr="000F3DB0">
                        <w:rPr>
                          <w:rFonts w:ascii="Georgia" w:hAnsi="Georgia"/>
                          <w:sz w:val="14"/>
                        </w:rPr>
                        <w:tab/>
                      </w:r>
                    </w:p>
                    <w:p w14:paraId="33146465" w14:textId="2553B856" w:rsidR="00D928D7" w:rsidRPr="00D928D7" w:rsidRDefault="00D928D7" w:rsidP="00D928D7">
                      <w:pPr>
                        <w:tabs>
                          <w:tab w:val="left" w:pos="142"/>
                        </w:tabs>
                        <w:spacing w:after="0" w:line="240" w:lineRule="auto"/>
                        <w:jc w:val="both"/>
                        <w:rPr>
                          <w:rFonts w:ascii="Georgia" w:hAnsi="Georgia"/>
                          <w:sz w:val="14"/>
                        </w:rPr>
                      </w:pPr>
                      <w:r w:rsidRPr="00C20641">
                        <w:rPr>
                          <w:rFonts w:ascii="Georgia" w:hAnsi="Georgia"/>
                          <w:sz w:val="18"/>
                          <w:szCs w:val="24"/>
                        </w:rPr>
                        <w:tab/>
                      </w:r>
                      <w:r>
                        <w:rPr>
                          <w:rFonts w:ascii="Georgia" w:hAnsi="Georgia"/>
                          <w:i/>
                          <w:sz w:val="16"/>
                        </w:rPr>
                        <w:tab/>
                      </w:r>
                    </w:p>
                    <w:p w14:paraId="305C4B49" w14:textId="06446A37" w:rsidR="00D928D7" w:rsidRDefault="00D928D7" w:rsidP="00D928D7">
                      <w:pPr>
                        <w:rPr>
                          <w:rFonts w:ascii="Georgia" w:hAnsi="Georgia"/>
                          <w:sz w:val="16"/>
                        </w:rPr>
                      </w:pPr>
                      <w:r>
                        <w:rPr>
                          <w:rFonts w:ascii="Georgia" w:hAnsi="Georgia"/>
                          <w:b/>
                          <w:sz w:val="16"/>
                        </w:rPr>
                        <w:t>Published</w:t>
                      </w:r>
                      <w:r>
                        <w:rPr>
                          <w:rFonts w:ascii="Georgia" w:hAnsi="Georgia"/>
                          <w:sz w:val="16"/>
                        </w:rPr>
                        <w:t>: April 2021</w:t>
                      </w:r>
                    </w:p>
                    <w:p w14:paraId="5FC10C21" w14:textId="423C5281" w:rsidR="00D928D7" w:rsidRDefault="00D928D7" w:rsidP="00D928D7">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Pr>
                          <w:rFonts w:ascii="Georgia" w:hAnsi="Georgia"/>
                          <w:sz w:val="16"/>
                        </w:rPr>
                        <w:t>2021</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16"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0BFB3B50" w14:textId="77777777" w:rsidR="00D928D7" w:rsidRDefault="00D928D7" w:rsidP="00D928D7">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v:textbox>
                <w10:wrap type="square"/>
              </v:shape>
            </w:pict>
          </mc:Fallback>
        </mc:AlternateContent>
      </w:r>
    </w:p>
    <w:sectPr w:rsidR="00D928D7" w:rsidRPr="00D928D7" w:rsidSect="00D928D7">
      <w:type w:val="continuous"/>
      <w:pgSz w:w="11906" w:h="16838"/>
      <w:pgMar w:top="1418" w:right="849" w:bottom="1560" w:left="851" w:header="426" w:footer="708"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2CB776" w14:textId="77777777" w:rsidR="002E1C4E" w:rsidRDefault="002E1C4E" w:rsidP="005C2555">
      <w:pPr>
        <w:spacing w:after="0" w:line="240" w:lineRule="auto"/>
      </w:pPr>
      <w:r>
        <w:separator/>
      </w:r>
    </w:p>
  </w:endnote>
  <w:endnote w:type="continuationSeparator" w:id="0">
    <w:p w14:paraId="26DD5403" w14:textId="77777777" w:rsidR="002E1C4E" w:rsidRDefault="002E1C4E" w:rsidP="005C2555">
      <w:pPr>
        <w:spacing w:after="0" w:line="240" w:lineRule="auto"/>
      </w:pPr>
      <w:r>
        <w:continuationSeparator/>
      </w:r>
    </w:p>
  </w:endnote>
  <w:endnote w:type="continuationNotice" w:id="1">
    <w:p w14:paraId="7A6F21CD" w14:textId="77777777" w:rsidR="002E1C4E" w:rsidRDefault="002E1C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Nova">
    <w:altName w:val="Arial Nova"/>
    <w:panose1 w:val="020B05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ova Cond">
    <w:panose1 w:val="020B0506020202020204"/>
    <w:charset w:val="00"/>
    <w:family w:val="swiss"/>
    <w:pitch w:val="variable"/>
    <w:sig w:usb0="0000028F" w:usb1="00000002" w:usb2="00000000" w:usb3="00000000" w:csb0="0000019F" w:csb1="00000000"/>
  </w:font>
  <w:font w:name="Arial Nova Cond Light">
    <w:altName w:val="Arial Nova Cond Light"/>
    <w:panose1 w:val="020B0306020202020204"/>
    <w:charset w:val="00"/>
    <w:family w:val="swiss"/>
    <w:pitch w:val="variable"/>
    <w:sig w:usb0="0000028F" w:usb1="00000002" w:usb2="00000000" w:usb3="00000000" w:csb0="0000019F" w:csb1="00000000"/>
  </w:font>
  <w:font w:name="Times New Roman Uni">
    <w:panose1 w:val="020B0604020202020204"/>
    <w:charset w:val="80"/>
    <w:family w:val="roman"/>
    <w:pitch w:val="variable"/>
    <w:sig w:usb0="B334AAFF" w:usb1="F9DFFFFF" w:usb2="0000003E" w:usb3="00000000" w:csb0="001F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2D260" w14:textId="7D2668D2" w:rsidR="00257C15" w:rsidRPr="00A35B06" w:rsidRDefault="00257C15" w:rsidP="00A35B06">
    <w:pPr>
      <w:pStyle w:val="Footer"/>
      <w:jc w:val="center"/>
      <w:rPr>
        <w:rFonts w:ascii="Georgia" w:hAnsi="Georg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9BE6FF" w14:textId="77777777" w:rsidR="002E1C4E" w:rsidRDefault="002E1C4E" w:rsidP="005C2555">
      <w:pPr>
        <w:spacing w:after="0" w:line="240" w:lineRule="auto"/>
      </w:pPr>
      <w:r>
        <w:separator/>
      </w:r>
    </w:p>
  </w:footnote>
  <w:footnote w:type="continuationSeparator" w:id="0">
    <w:p w14:paraId="108DC439" w14:textId="77777777" w:rsidR="002E1C4E" w:rsidRDefault="002E1C4E" w:rsidP="005C2555">
      <w:pPr>
        <w:spacing w:after="0" w:line="240" w:lineRule="auto"/>
      </w:pPr>
      <w:r>
        <w:continuationSeparator/>
      </w:r>
    </w:p>
  </w:footnote>
  <w:footnote w:type="continuationNotice" w:id="1">
    <w:p w14:paraId="7F63D6D6" w14:textId="77777777" w:rsidR="002E1C4E" w:rsidRDefault="002E1C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28AF5" w14:textId="633C46D6" w:rsidR="00257C15" w:rsidRPr="000F3DB0" w:rsidRDefault="00257C15" w:rsidP="00257C15">
    <w:pPr>
      <w:pStyle w:val="Header"/>
      <w:tabs>
        <w:tab w:val="clear" w:pos="4513"/>
      </w:tabs>
      <w:ind w:left="5529"/>
      <w:rPr>
        <w:rFonts w:ascii="Georgia" w:hAnsi="Georgia"/>
        <w:sz w:val="14"/>
      </w:rPr>
    </w:pPr>
    <w:r>
      <w:rPr>
        <w:rFonts w:ascii="Georgia" w:hAnsi="Georgia"/>
        <w:noProof/>
        <w:sz w:val="14"/>
      </w:rPr>
      <w:drawing>
        <wp:anchor distT="0" distB="0" distL="114300" distR="114300" simplePos="0" relativeHeight="251658240" behindDoc="0" locked="0" layoutInCell="1" allowOverlap="1" wp14:anchorId="69AE644B" wp14:editId="6446261A">
          <wp:simplePos x="0" y="0"/>
          <wp:positionH relativeFrom="column">
            <wp:posOffset>46355</wp:posOffset>
          </wp:positionH>
          <wp:positionV relativeFrom="paragraph">
            <wp:posOffset>-196797</wp:posOffset>
          </wp:positionV>
          <wp:extent cx="1322835" cy="54864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b_nobackground_180x434pxsmall.png"/>
                  <pic:cNvPicPr/>
                </pic:nvPicPr>
                <pic:blipFill>
                  <a:blip r:embed="rId1">
                    <a:extLst>
                      <a:ext uri="{28A0092B-C50C-407E-A947-70E740481C1C}">
                        <a14:useLocalDpi xmlns:a14="http://schemas.microsoft.com/office/drawing/2010/main" val="0"/>
                      </a:ext>
                    </a:extLst>
                  </a:blip>
                  <a:stretch>
                    <a:fillRect/>
                  </a:stretch>
                </pic:blipFill>
                <pic:spPr>
                  <a:xfrm>
                    <a:off x="0" y="0"/>
                    <a:ext cx="1322835" cy="548641"/>
                  </a:xfrm>
                  <a:prstGeom prst="rect">
                    <a:avLst/>
                  </a:prstGeom>
                </pic:spPr>
              </pic:pic>
            </a:graphicData>
          </a:graphic>
        </wp:anchor>
      </w:drawing>
    </w:r>
    <w:r w:rsidRPr="000F3DB0">
      <w:rPr>
        <w:rFonts w:ascii="Georgia" w:hAnsi="Georgia"/>
        <w:sz w:val="14"/>
      </w:rPr>
      <w:tab/>
    </w:r>
    <w:r w:rsidR="00D928D7">
      <w:rPr>
        <w:rFonts w:ascii="Georgia" w:hAnsi="Georgia"/>
        <w:sz w:val="14"/>
      </w:rPr>
      <w:t>MacIntyre CR. Using the Bradford-Hill criteria to assess causality in the association between CHADOX1</w:t>
    </w:r>
    <w:r w:rsidR="007B47DC">
      <w:rPr>
        <w:rFonts w:ascii="Georgia" w:hAnsi="Georgia"/>
        <w:sz w:val="14"/>
      </w:rPr>
      <w:t xml:space="preserve"> </w:t>
    </w:r>
    <w:r w:rsidR="00D928D7">
      <w:rPr>
        <w:rFonts w:ascii="Georgia" w:hAnsi="Georgia"/>
        <w:sz w:val="14"/>
      </w:rPr>
      <w:t xml:space="preserve">NCOV-19 vaccine and prothrombotic immune thrombocytopenia. </w:t>
    </w:r>
    <w:r w:rsidRPr="005B298D">
      <w:rPr>
        <w:rFonts w:ascii="Georgia" w:hAnsi="Georgia"/>
        <w:i/>
        <w:sz w:val="14"/>
      </w:rPr>
      <w:t>Global Biosecurity, 20</w:t>
    </w:r>
    <w:r w:rsidR="00FD3B1D">
      <w:rPr>
        <w:rFonts w:ascii="Georgia" w:hAnsi="Georgia"/>
        <w:i/>
        <w:sz w:val="14"/>
      </w:rPr>
      <w:t>2</w:t>
    </w:r>
    <w:r w:rsidR="00D928D7">
      <w:rPr>
        <w:rFonts w:ascii="Georgia" w:hAnsi="Georgia"/>
        <w:i/>
        <w:sz w:val="14"/>
      </w:rPr>
      <w:t>1</w:t>
    </w:r>
    <w:r w:rsidRPr="005B298D">
      <w:rPr>
        <w:rFonts w:ascii="Georgia" w:hAnsi="Georgia"/>
        <w:i/>
        <w:sz w:val="14"/>
      </w:rPr>
      <w:t xml:space="preserve">; </w:t>
    </w:r>
    <w:r w:rsidR="00D928D7">
      <w:rPr>
        <w:rFonts w:ascii="Georgia" w:hAnsi="Georgia"/>
        <w:i/>
        <w:sz w:val="14"/>
      </w:rPr>
      <w:t>3</w:t>
    </w:r>
    <w:r w:rsidRPr="005B298D">
      <w:rPr>
        <w:rFonts w:ascii="Georgia" w:hAnsi="Georgia"/>
        <w:i/>
        <w:sz w:val="14"/>
      </w:rPr>
      <w:t>(1).</w:t>
    </w:r>
    <w:r w:rsidRPr="000F3DB0">
      <w:rPr>
        <w:rFonts w:ascii="Georgia" w:hAnsi="Georgia"/>
        <w:sz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C70B1"/>
    <w:multiLevelType w:val="hybridMultilevel"/>
    <w:tmpl w:val="F2A087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6E265D"/>
    <w:multiLevelType w:val="hybridMultilevel"/>
    <w:tmpl w:val="059C8B8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7911B8"/>
    <w:multiLevelType w:val="hybridMultilevel"/>
    <w:tmpl w:val="8AE4D1F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183974"/>
    <w:multiLevelType w:val="hybridMultilevel"/>
    <w:tmpl w:val="C666B72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3DBA5C61"/>
    <w:multiLevelType w:val="hybridMultilevel"/>
    <w:tmpl w:val="03E235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FC36060"/>
    <w:multiLevelType w:val="hybridMultilevel"/>
    <w:tmpl w:val="BFE2B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2MzcyMDY2NzY0NTFS0lEKTi0uzszPAykwrAUAnUOUPSwAAAA="/>
  </w:docVars>
  <w:rsids>
    <w:rsidRoot w:val="005C2555"/>
    <w:rsid w:val="00097383"/>
    <w:rsid w:val="000F3DB0"/>
    <w:rsid w:val="001B2F70"/>
    <w:rsid w:val="001D6EFC"/>
    <w:rsid w:val="002245F7"/>
    <w:rsid w:val="00245640"/>
    <w:rsid w:val="00257C15"/>
    <w:rsid w:val="002E1C4E"/>
    <w:rsid w:val="002F14B0"/>
    <w:rsid w:val="002F50E9"/>
    <w:rsid w:val="00325048"/>
    <w:rsid w:val="0039211B"/>
    <w:rsid w:val="003C3567"/>
    <w:rsid w:val="004D11F2"/>
    <w:rsid w:val="004F2303"/>
    <w:rsid w:val="005248DF"/>
    <w:rsid w:val="005B298D"/>
    <w:rsid w:val="005C2555"/>
    <w:rsid w:val="005D173D"/>
    <w:rsid w:val="005D1B19"/>
    <w:rsid w:val="00640A0E"/>
    <w:rsid w:val="006E1D28"/>
    <w:rsid w:val="00740EFF"/>
    <w:rsid w:val="00746BD6"/>
    <w:rsid w:val="00792E99"/>
    <w:rsid w:val="007B47DC"/>
    <w:rsid w:val="007E6241"/>
    <w:rsid w:val="007F5085"/>
    <w:rsid w:val="00896ED1"/>
    <w:rsid w:val="008B4D2D"/>
    <w:rsid w:val="008B5961"/>
    <w:rsid w:val="008D4FB6"/>
    <w:rsid w:val="00916F03"/>
    <w:rsid w:val="0093693E"/>
    <w:rsid w:val="009D16A1"/>
    <w:rsid w:val="00A129E4"/>
    <w:rsid w:val="00A335A4"/>
    <w:rsid w:val="00A35B06"/>
    <w:rsid w:val="00A500DC"/>
    <w:rsid w:val="00B04EEB"/>
    <w:rsid w:val="00CE79D6"/>
    <w:rsid w:val="00D209B2"/>
    <w:rsid w:val="00D928D7"/>
    <w:rsid w:val="00DA7D13"/>
    <w:rsid w:val="00DE2DB1"/>
    <w:rsid w:val="00DF4ABA"/>
    <w:rsid w:val="00E141C7"/>
    <w:rsid w:val="00E719B9"/>
    <w:rsid w:val="00FB0F9C"/>
    <w:rsid w:val="00FD3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DCEA5"/>
  <w15:chartTrackingRefBased/>
  <w15:docId w15:val="{4D826550-2483-4C94-8036-86DD38E2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555"/>
  </w:style>
  <w:style w:type="paragraph" w:styleId="Footer">
    <w:name w:val="footer"/>
    <w:basedOn w:val="Normal"/>
    <w:link w:val="FooterChar"/>
    <w:uiPriority w:val="99"/>
    <w:unhideWhenUsed/>
    <w:rsid w:val="005C2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555"/>
  </w:style>
  <w:style w:type="character" w:styleId="Hyperlink">
    <w:name w:val="Hyperlink"/>
    <w:basedOn w:val="DefaultParagraphFont"/>
    <w:uiPriority w:val="99"/>
    <w:unhideWhenUsed/>
    <w:rsid w:val="00A35B06"/>
    <w:rPr>
      <w:color w:val="0563C1" w:themeColor="hyperlink"/>
      <w:u w:val="single"/>
    </w:rPr>
  </w:style>
  <w:style w:type="character" w:styleId="UnresolvedMention">
    <w:name w:val="Unresolved Mention"/>
    <w:basedOn w:val="DefaultParagraphFont"/>
    <w:uiPriority w:val="99"/>
    <w:semiHidden/>
    <w:unhideWhenUsed/>
    <w:rsid w:val="00A35B06"/>
    <w:rPr>
      <w:color w:val="605E5C"/>
      <w:shd w:val="clear" w:color="auto" w:fill="E1DFDD"/>
    </w:rPr>
  </w:style>
  <w:style w:type="paragraph" w:styleId="ListParagraph">
    <w:name w:val="List Paragraph"/>
    <w:basedOn w:val="Normal"/>
    <w:uiPriority w:val="34"/>
    <w:qFormat/>
    <w:rsid w:val="00257C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3222">
      <w:bodyDiv w:val="1"/>
      <w:marLeft w:val="0"/>
      <w:marRight w:val="0"/>
      <w:marTop w:val="0"/>
      <w:marBottom w:val="0"/>
      <w:divBdr>
        <w:top w:val="none" w:sz="0" w:space="0" w:color="auto"/>
        <w:left w:val="none" w:sz="0" w:space="0" w:color="auto"/>
        <w:bottom w:val="none" w:sz="0" w:space="0" w:color="auto"/>
        <w:right w:val="none" w:sz="0" w:space="0" w:color="auto"/>
      </w:divBdr>
    </w:div>
    <w:div w:id="95947963">
      <w:bodyDiv w:val="1"/>
      <w:marLeft w:val="0"/>
      <w:marRight w:val="0"/>
      <w:marTop w:val="0"/>
      <w:marBottom w:val="0"/>
      <w:divBdr>
        <w:top w:val="none" w:sz="0" w:space="0" w:color="auto"/>
        <w:left w:val="none" w:sz="0" w:space="0" w:color="auto"/>
        <w:bottom w:val="none" w:sz="0" w:space="0" w:color="auto"/>
        <w:right w:val="none" w:sz="0" w:space="0" w:color="auto"/>
      </w:divBdr>
    </w:div>
    <w:div w:id="869152336">
      <w:bodyDiv w:val="1"/>
      <w:marLeft w:val="0"/>
      <w:marRight w:val="0"/>
      <w:marTop w:val="0"/>
      <w:marBottom w:val="0"/>
      <w:divBdr>
        <w:top w:val="none" w:sz="0" w:space="0" w:color="auto"/>
        <w:left w:val="none" w:sz="0" w:space="0" w:color="auto"/>
        <w:bottom w:val="none" w:sz="0" w:space="0" w:color="auto"/>
        <w:right w:val="none" w:sz="0" w:space="0" w:color="auto"/>
      </w:divBdr>
    </w:div>
    <w:div w:id="1633248879">
      <w:bodyDiv w:val="1"/>
      <w:marLeft w:val="0"/>
      <w:marRight w:val="0"/>
      <w:marTop w:val="0"/>
      <w:marBottom w:val="0"/>
      <w:divBdr>
        <w:top w:val="none" w:sz="0" w:space="0" w:color="auto"/>
        <w:left w:val="none" w:sz="0" w:space="0" w:color="auto"/>
        <w:bottom w:val="none" w:sz="0" w:space="0" w:color="auto"/>
        <w:right w:val="none" w:sz="0" w:space="0" w:color="auto"/>
      </w:divBdr>
    </w:div>
    <w:div w:id="188036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ma.europa.eu/en/news/astrazenecas-covid-19-vaccine-ema-finds-possible-link-very-rare-cases-unusual-blood-clots-low-bloo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ema.europa.eu/en/documents/prac-recommendation/signal-assessment-report-embolic-thrombotic-events-smq-covid-19-vaccine-chadox1-s-recombinant-covid_en.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reativecommons.org/licenses/by/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vid19-sciencetable.ca/sciencebrief/vaccine-induced-prothrombotic-immune-thrombocytopenia-vipit-following-astrazeneca-covid-19-vaccination/" TargetMode="External"/><Relationship Id="rId5" Type="http://schemas.openxmlformats.org/officeDocument/2006/relationships/footnotes" Target="footnotes.xml"/><Relationship Id="rId15" Type="http://schemas.openxmlformats.org/officeDocument/2006/relationships/hyperlink" Target="http://creativecommons.org/licenses/by/4.0/" TargetMode="External"/><Relationship Id="rId10" Type="http://schemas.openxmlformats.org/officeDocument/2006/relationships/hyperlink" Target="https://jglobalbiosecurity.com/articles/10.31646/gbio.109/"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s://www.who.int/vaccine_safety/causality/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4</Pages>
  <Words>1789</Words>
  <Characters>10468</Characters>
  <Application>Microsoft Office Word</Application>
  <DocSecurity>0</DocSecurity>
  <Lines>348</Lines>
  <Paragraphs>92</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12165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Trent</dc:creator>
  <cp:keywords/>
  <dc:description/>
  <cp:lastModifiedBy>Anjali Kannan</cp:lastModifiedBy>
  <cp:revision>35</cp:revision>
  <dcterms:created xsi:type="dcterms:W3CDTF">2018-11-05T02:58:00Z</dcterms:created>
  <dcterms:modified xsi:type="dcterms:W3CDTF">2021-04-14T03:26:00Z</dcterms:modified>
</cp:coreProperties>
</file>